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094C0" w14:textId="3CB2B00B" w:rsidR="00135DEE" w:rsidRPr="00551E6F" w:rsidRDefault="00135DEE" w:rsidP="00135DEE">
      <w:pPr>
        <w:pStyle w:val="3GPPHeader"/>
        <w:spacing w:after="0"/>
        <w:rPr>
          <w:sz w:val="32"/>
          <w:szCs w:val="32"/>
          <w:lang w:val="en-US" w:eastAsia="ko-KR"/>
        </w:rPr>
      </w:pPr>
      <w:r w:rsidRPr="00551E6F">
        <w:rPr>
          <w:lang w:val="en-US"/>
        </w:rPr>
        <w:t>3GPP TSG-RAN WG2 #133</w:t>
      </w:r>
      <w:r w:rsidRPr="00551E6F">
        <w:rPr>
          <w:lang w:val="en-US"/>
        </w:rPr>
        <w:tab/>
      </w:r>
      <w:r w:rsidR="009E6FDB" w:rsidRPr="00B66D5E">
        <w:rPr>
          <w:szCs w:val="24"/>
          <w:lang w:val="en-US"/>
        </w:rPr>
        <w:t>R2-</w:t>
      </w:r>
      <w:r w:rsidR="009E6FDB" w:rsidRPr="00FA08C3">
        <w:rPr>
          <w:szCs w:val="24"/>
        </w:rPr>
        <w:t>260042</w:t>
      </w:r>
      <w:r w:rsidR="009E6FDB">
        <w:rPr>
          <w:szCs w:val="24"/>
        </w:rPr>
        <w:t>4</w:t>
      </w:r>
    </w:p>
    <w:p w14:paraId="293741CC" w14:textId="77777777" w:rsidR="00135DEE" w:rsidRPr="00A41AF4" w:rsidRDefault="00135DEE" w:rsidP="00135DEE">
      <w:pPr>
        <w:pStyle w:val="3GPPHeader"/>
        <w:rPr>
          <w:lang w:val="en-US"/>
        </w:rPr>
      </w:pPr>
      <w:r w:rsidRPr="00A41AF4">
        <w:rPr>
          <w:lang w:val="en-US"/>
        </w:rPr>
        <w:t>Gothenburg, Sweden, Feb. 9</w:t>
      </w:r>
      <w:r w:rsidRPr="00A41AF4">
        <w:rPr>
          <w:vertAlign w:val="superscript"/>
          <w:lang w:val="en-US"/>
        </w:rPr>
        <w:t>th</w:t>
      </w:r>
      <w:r w:rsidRPr="00A41AF4">
        <w:rPr>
          <w:lang w:val="en-US"/>
        </w:rPr>
        <w:t xml:space="preserve"> – 13</w:t>
      </w:r>
      <w:r w:rsidRPr="00A41AF4">
        <w:rPr>
          <w:vertAlign w:val="superscript"/>
          <w:lang w:val="en-US"/>
        </w:rPr>
        <w:t>th</w:t>
      </w:r>
      <w:r w:rsidRPr="00A41AF4">
        <w:rPr>
          <w:lang w:val="en-US"/>
        </w:rPr>
        <w:t>, 2026</w:t>
      </w:r>
    </w:p>
    <w:p w14:paraId="452EB362" w14:textId="51843428" w:rsidR="00773F15" w:rsidRPr="00F50E1F" w:rsidRDefault="00773F15" w:rsidP="00C15AF1">
      <w:pPr>
        <w:pStyle w:val="CRCoverPage"/>
        <w:tabs>
          <w:tab w:val="left" w:pos="1980"/>
        </w:tabs>
        <w:rPr>
          <w:rFonts w:ascii="Times New Roman" w:hAnsi="Times New Roman"/>
          <w:b/>
          <w:bCs/>
          <w:sz w:val="24"/>
          <w:lang w:eastAsia="ja-JP"/>
        </w:rPr>
      </w:pPr>
      <w:r w:rsidRPr="00F50E1F">
        <w:rPr>
          <w:rFonts w:ascii="Times New Roman" w:hAnsi="Times New Roman"/>
          <w:b/>
          <w:bCs/>
          <w:sz w:val="24"/>
        </w:rPr>
        <w:t>Agenda Item:</w:t>
      </w:r>
      <w:r w:rsidRPr="00F50E1F">
        <w:rPr>
          <w:rFonts w:ascii="Times New Roman" w:hAnsi="Times New Roman"/>
          <w:b/>
          <w:bCs/>
          <w:sz w:val="24"/>
        </w:rPr>
        <w:tab/>
      </w:r>
      <w:r w:rsidR="000A2BCE" w:rsidRPr="00F50E1F">
        <w:rPr>
          <w:rFonts w:ascii="Times New Roman" w:hAnsi="Times New Roman"/>
          <w:b/>
          <w:bCs/>
          <w:sz w:val="24"/>
        </w:rPr>
        <w:t>9.3.2</w:t>
      </w:r>
    </w:p>
    <w:p w14:paraId="2BA49935" w14:textId="77777777" w:rsidR="00773F15" w:rsidRPr="00F50E1F" w:rsidRDefault="00773F15" w:rsidP="00C15AF1">
      <w:pPr>
        <w:tabs>
          <w:tab w:val="left" w:pos="1985"/>
        </w:tabs>
        <w:jc w:val="left"/>
        <w:rPr>
          <w:b/>
          <w:bCs/>
          <w:sz w:val="24"/>
        </w:rPr>
      </w:pPr>
      <w:r w:rsidRPr="00F50E1F">
        <w:rPr>
          <w:b/>
          <w:bCs/>
          <w:sz w:val="24"/>
        </w:rPr>
        <w:t>Source:</w:t>
      </w:r>
      <w:r w:rsidRPr="00F50E1F">
        <w:rPr>
          <w:b/>
          <w:bCs/>
          <w:sz w:val="24"/>
        </w:rPr>
        <w:tab/>
        <w:t>InterDigital, Inc.</w:t>
      </w:r>
    </w:p>
    <w:p w14:paraId="64966197" w14:textId="785A255D" w:rsidR="00773F15" w:rsidRPr="00F50E1F" w:rsidRDefault="00773F15" w:rsidP="00C15AF1">
      <w:pPr>
        <w:ind w:left="1985" w:hanging="1985"/>
        <w:jc w:val="left"/>
        <w:rPr>
          <w:b/>
          <w:bCs/>
        </w:rPr>
      </w:pPr>
      <w:r w:rsidRPr="00F50E1F">
        <w:rPr>
          <w:b/>
          <w:bCs/>
          <w:sz w:val="24"/>
        </w:rPr>
        <w:t>Title:</w:t>
      </w:r>
      <w:r w:rsidRPr="00F50E1F">
        <w:rPr>
          <w:b/>
          <w:bCs/>
          <w:sz w:val="24"/>
        </w:rPr>
        <w:tab/>
      </w:r>
      <w:r w:rsidR="000A2BCE" w:rsidRPr="00F50E1F">
        <w:rPr>
          <w:b/>
          <w:bCs/>
          <w:sz w:val="24"/>
        </w:rPr>
        <w:t>Functionality management for UE sided model for RRM measurement prediction</w:t>
      </w:r>
    </w:p>
    <w:p w14:paraId="06136B5C" w14:textId="64831F51" w:rsidR="007C5CCB" w:rsidRPr="00F50E1F" w:rsidRDefault="00773F15" w:rsidP="00C15AF1">
      <w:pPr>
        <w:ind w:left="1985" w:hanging="1985"/>
        <w:jc w:val="left"/>
        <w:rPr>
          <w:b/>
          <w:bCs/>
          <w:sz w:val="24"/>
        </w:rPr>
      </w:pPr>
      <w:r w:rsidRPr="00F50E1F">
        <w:rPr>
          <w:b/>
          <w:bCs/>
          <w:sz w:val="24"/>
        </w:rPr>
        <w:t>Document for:</w:t>
      </w:r>
      <w:r w:rsidRPr="00F50E1F">
        <w:rPr>
          <w:b/>
          <w:bCs/>
          <w:sz w:val="24"/>
        </w:rPr>
        <w:tab/>
        <w:t>Discussion</w:t>
      </w:r>
    </w:p>
    <w:p w14:paraId="1C3FFD89" w14:textId="1388F4C5" w:rsidR="00773F15" w:rsidRPr="00F50E1F" w:rsidRDefault="00773F15" w:rsidP="00C15AF1">
      <w:pPr>
        <w:pStyle w:val="Heading1"/>
        <w:rPr>
          <w:sz w:val="32"/>
        </w:rPr>
      </w:pPr>
      <w:bookmarkStart w:id="0" w:name="_Toc178176150"/>
      <w:r w:rsidRPr="00F50E1F">
        <w:rPr>
          <w:sz w:val="32"/>
        </w:rPr>
        <w:t>Introduction</w:t>
      </w:r>
      <w:bookmarkEnd w:id="0"/>
    </w:p>
    <w:p w14:paraId="05D5C667" w14:textId="5F99742B" w:rsidR="00DC691C" w:rsidRDefault="00C467DC" w:rsidP="00C15AF1">
      <w:pPr>
        <w:jc w:val="left"/>
      </w:pPr>
      <w:r>
        <w:t>In RAN2-132</w:t>
      </w:r>
      <w:r w:rsidR="00DE2429">
        <w:t xml:space="preserve"> [1]</w:t>
      </w:r>
      <w:r>
        <w:t xml:space="preserve">, </w:t>
      </w:r>
      <w:r w:rsidR="00DE2429">
        <w:t xml:space="preserve">several agreements were made regarding </w:t>
      </w:r>
      <w:r w:rsidR="00DC691C">
        <w:t xml:space="preserve">AIML based measurement prediction </w:t>
      </w:r>
      <w:r w:rsidR="00DE2429">
        <w:t xml:space="preserve">(see Annex). </w:t>
      </w:r>
    </w:p>
    <w:p w14:paraId="13D633AD" w14:textId="79CE176F" w:rsidR="00C012E6" w:rsidRPr="00DE2429" w:rsidRDefault="00C012E6" w:rsidP="00C15AF1">
      <w:pPr>
        <w:jc w:val="left"/>
        <w:rPr>
          <w:szCs w:val="22"/>
        </w:rPr>
      </w:pPr>
      <w:r w:rsidRPr="00DE2429">
        <w:rPr>
          <w:szCs w:val="22"/>
        </w:rPr>
        <w:t xml:space="preserve">In this contribution, we discuss </w:t>
      </w:r>
      <w:r w:rsidR="00F87376" w:rsidRPr="00DE2429">
        <w:rPr>
          <w:szCs w:val="22"/>
        </w:rPr>
        <w:t xml:space="preserve">some of the FFSs above and other open issues regarding </w:t>
      </w:r>
      <w:r w:rsidRPr="00DE2429">
        <w:rPr>
          <w:szCs w:val="22"/>
        </w:rPr>
        <w:t>LCM and functionality management aspects for a UE-side model for RRM measurement prediction.</w:t>
      </w:r>
    </w:p>
    <w:p w14:paraId="38E544A5" w14:textId="14189667" w:rsidR="00773F15" w:rsidRPr="00F50E1F" w:rsidRDefault="004D5A8B" w:rsidP="00C15AF1">
      <w:pPr>
        <w:pStyle w:val="Heading1"/>
        <w:pBdr>
          <w:top w:val="single" w:sz="12" w:space="5" w:color="auto"/>
        </w:pBdr>
        <w:spacing w:after="120"/>
        <w:rPr>
          <w:sz w:val="32"/>
        </w:rPr>
      </w:pPr>
      <w:r w:rsidRPr="00F50E1F">
        <w:t>Discussion</w:t>
      </w:r>
    </w:p>
    <w:p w14:paraId="69263CE2" w14:textId="2FA24EBB" w:rsidR="000D4F8F" w:rsidRDefault="00F87376" w:rsidP="00C15AF1">
      <w:pPr>
        <w:pStyle w:val="Heading2"/>
        <w:rPr>
          <w:sz w:val="28"/>
          <w:szCs w:val="28"/>
        </w:rPr>
      </w:pPr>
      <w:r>
        <w:rPr>
          <w:sz w:val="28"/>
          <w:szCs w:val="28"/>
        </w:rPr>
        <w:t>Applicability change/reporting and fallback</w:t>
      </w:r>
    </w:p>
    <w:p w14:paraId="6443AEC0" w14:textId="68EB63D3" w:rsidR="00F87376" w:rsidRDefault="00F87376" w:rsidP="009E6FDB">
      <w:pPr>
        <w:jc w:val="left"/>
      </w:pPr>
      <w:r w:rsidRPr="009E6FDB">
        <w:rPr>
          <w:highlight w:val="darkGray"/>
        </w:rPr>
        <w:t>[Applicability change reporting via Reconfiguration Complete]</w:t>
      </w:r>
    </w:p>
    <w:p w14:paraId="7A6F41C1" w14:textId="202F38D6" w:rsidR="004870B5" w:rsidRDefault="00DE2429" w:rsidP="00C15AF1">
      <w:pPr>
        <w:jc w:val="left"/>
      </w:pPr>
      <w:r>
        <w:t>It was agreed in RAN2-132 that the RRC reconfiguration complete message can include the applicability report regarding the configurations that were included in the preceding RRC reconfiguration message. However, there was no consensus regarding using the complete message</w:t>
      </w:r>
      <w:r w:rsidR="005461A0">
        <w:t xml:space="preserve"> [1]:</w:t>
      </w:r>
    </w:p>
    <w:p w14:paraId="4775EB5E" w14:textId="77777777" w:rsidR="005461A0" w:rsidRPr="009E6FDB" w:rsidRDefault="005461A0" w:rsidP="00C15AF1">
      <w:pPr>
        <w:numPr>
          <w:ilvl w:val="0"/>
          <w:numId w:val="48"/>
        </w:numPr>
        <w:pBdr>
          <w:top w:val="single" w:sz="4" w:space="1" w:color="auto"/>
          <w:left w:val="single" w:sz="4" w:space="4" w:color="auto"/>
          <w:bottom w:val="single" w:sz="4" w:space="1" w:color="auto"/>
          <w:right w:val="single" w:sz="4" w:space="4" w:color="auto"/>
        </w:pBdr>
        <w:jc w:val="left"/>
        <w:rPr>
          <w:i/>
          <w:iCs/>
          <w:szCs w:val="22"/>
          <w:lang w:val="en-US"/>
        </w:rPr>
      </w:pPr>
      <w:r w:rsidRPr="009E6FDB">
        <w:rPr>
          <w:i/>
          <w:iCs/>
          <w:szCs w:val="22"/>
        </w:rPr>
        <w:t>Applicability can be updated via UAI. FFS on RRC reconfiguration complete.</w:t>
      </w:r>
    </w:p>
    <w:p w14:paraId="51086BF0" w14:textId="77777777" w:rsidR="005461A0" w:rsidRPr="009E6FDB" w:rsidRDefault="005461A0" w:rsidP="00C15AF1">
      <w:pPr>
        <w:numPr>
          <w:ilvl w:val="0"/>
          <w:numId w:val="48"/>
        </w:numPr>
        <w:pBdr>
          <w:top w:val="single" w:sz="4" w:space="1" w:color="auto"/>
          <w:left w:val="single" w:sz="4" w:space="4" w:color="auto"/>
          <w:bottom w:val="single" w:sz="4" w:space="1" w:color="auto"/>
          <w:right w:val="single" w:sz="4" w:space="4" w:color="auto"/>
        </w:pBdr>
        <w:jc w:val="left"/>
        <w:rPr>
          <w:i/>
          <w:iCs/>
          <w:szCs w:val="22"/>
          <w:lang w:val="en-US"/>
        </w:rPr>
      </w:pPr>
      <w:r w:rsidRPr="009E6FDB">
        <w:rPr>
          <w:i/>
          <w:iCs/>
          <w:szCs w:val="22"/>
          <w:lang w:val="en-US"/>
        </w:rPr>
        <w:t>RRCReconfigurationComplete shall include applicability/inapplicability status for: a) All prediction configurations included in the immediately preceding RRCReconfiguration message.</w:t>
      </w:r>
    </w:p>
    <w:p w14:paraId="4B21C348" w14:textId="77777777" w:rsidR="005461A0" w:rsidRPr="009E6FDB" w:rsidRDefault="005461A0" w:rsidP="00C15AF1">
      <w:pPr>
        <w:numPr>
          <w:ilvl w:val="0"/>
          <w:numId w:val="48"/>
        </w:numPr>
        <w:pBdr>
          <w:top w:val="single" w:sz="4" w:space="1" w:color="auto"/>
          <w:left w:val="single" w:sz="4" w:space="4" w:color="auto"/>
          <w:bottom w:val="single" w:sz="4" w:space="1" w:color="auto"/>
          <w:right w:val="single" w:sz="4" w:space="4" w:color="auto"/>
        </w:pBdr>
        <w:jc w:val="left"/>
        <w:rPr>
          <w:i/>
          <w:iCs/>
          <w:szCs w:val="22"/>
          <w:lang w:val="en-US"/>
        </w:rPr>
      </w:pPr>
      <w:r w:rsidRPr="009E6FDB">
        <w:rPr>
          <w:i/>
          <w:iCs/>
          <w:szCs w:val="22"/>
          <w:lang w:val="en-US"/>
        </w:rPr>
        <w:t>Applicability reporting via UAI is always enabled.</w:t>
      </w:r>
    </w:p>
    <w:p w14:paraId="694D8CFA" w14:textId="77777777" w:rsidR="005461A0" w:rsidRPr="009E6FDB" w:rsidRDefault="005461A0" w:rsidP="00C15AF1">
      <w:pPr>
        <w:numPr>
          <w:ilvl w:val="0"/>
          <w:numId w:val="48"/>
        </w:numPr>
        <w:pBdr>
          <w:top w:val="single" w:sz="4" w:space="1" w:color="auto"/>
          <w:left w:val="single" w:sz="4" w:space="4" w:color="auto"/>
          <w:bottom w:val="single" w:sz="4" w:space="1" w:color="auto"/>
          <w:right w:val="single" w:sz="4" w:space="4" w:color="auto"/>
        </w:pBdr>
        <w:jc w:val="left"/>
        <w:rPr>
          <w:i/>
          <w:iCs/>
          <w:szCs w:val="22"/>
          <w:lang w:val="en-US"/>
        </w:rPr>
      </w:pPr>
      <w:r w:rsidRPr="009E6FDB">
        <w:rPr>
          <w:i/>
          <w:iCs/>
          <w:szCs w:val="22"/>
          <w:lang w:val="en-US"/>
        </w:rPr>
        <w:t>During mobility, the target gNB can check the applicability by including target cell inference configurations in the handover command message, i.e., RRCReconfiguration, and the UE can respond with RRCReconfigurationComplete.</w:t>
      </w:r>
    </w:p>
    <w:p w14:paraId="5F263B45" w14:textId="77777777" w:rsidR="005461A0" w:rsidRPr="009E6FDB" w:rsidRDefault="005461A0" w:rsidP="00C15AF1">
      <w:pPr>
        <w:numPr>
          <w:ilvl w:val="0"/>
          <w:numId w:val="48"/>
        </w:numPr>
        <w:pBdr>
          <w:top w:val="single" w:sz="4" w:space="1" w:color="auto"/>
          <w:left w:val="single" w:sz="4" w:space="4" w:color="auto"/>
          <w:bottom w:val="single" w:sz="4" w:space="1" w:color="auto"/>
          <w:right w:val="single" w:sz="4" w:space="4" w:color="auto"/>
        </w:pBdr>
        <w:jc w:val="left"/>
        <w:rPr>
          <w:i/>
          <w:iCs/>
          <w:szCs w:val="22"/>
          <w:lang w:val="en-US"/>
        </w:rPr>
      </w:pPr>
      <w:r w:rsidRPr="009E6FDB">
        <w:rPr>
          <w:i/>
          <w:iCs/>
          <w:szCs w:val="22"/>
          <w:lang w:val="en-US"/>
        </w:rPr>
        <w:t>FFS whether we also apply applicability reporting in RRC reconfiguration complete when applicability status is changed from applicable/inapplicable to inapplicable/applicable.</w:t>
      </w:r>
    </w:p>
    <w:p w14:paraId="6D5856EA" w14:textId="77777777" w:rsidR="005461A0" w:rsidRDefault="005461A0" w:rsidP="00C15AF1">
      <w:pPr>
        <w:jc w:val="left"/>
      </w:pPr>
    </w:p>
    <w:p w14:paraId="00A75C25" w14:textId="0416E698" w:rsidR="005461A0" w:rsidRDefault="005461A0" w:rsidP="00C15AF1">
      <w:pPr>
        <w:jc w:val="left"/>
      </w:pPr>
      <w:r>
        <w:t>Specifically, the issues highlighted above concern whether the reconfiguration complete message can be used to report:</w:t>
      </w:r>
    </w:p>
    <w:p w14:paraId="5CC3E9A7" w14:textId="5A8090C1" w:rsidR="004870B5" w:rsidRDefault="00DE2429" w:rsidP="00C15AF1">
      <w:pPr>
        <w:pStyle w:val="ListParagraph"/>
        <w:numPr>
          <w:ilvl w:val="0"/>
          <w:numId w:val="51"/>
        </w:numPr>
      </w:pPr>
      <w:r>
        <w:t xml:space="preserve">applicability of other configurations that </w:t>
      </w:r>
      <w:r w:rsidRPr="009E6FDB">
        <w:rPr>
          <w:i/>
          <w:iCs/>
        </w:rPr>
        <w:t>were not</w:t>
      </w:r>
      <w:r>
        <w:t xml:space="preserve"> included in the reconfiguration message, and </w:t>
      </w:r>
    </w:p>
    <w:p w14:paraId="7098F768" w14:textId="7D574FD2" w:rsidR="00F87376" w:rsidRDefault="004870B5" w:rsidP="009E6FDB">
      <w:pPr>
        <w:pStyle w:val="ListParagraph"/>
        <w:numPr>
          <w:ilvl w:val="0"/>
          <w:numId w:val="51"/>
        </w:numPr>
      </w:pPr>
      <w:r w:rsidRPr="009E6FDB">
        <w:rPr>
          <w:i/>
          <w:iCs/>
        </w:rPr>
        <w:t>applicability changes</w:t>
      </w:r>
      <w:r>
        <w:t xml:space="preserve"> from applicable to non-applicable or vice versa (e.g., due to changes to UE side conditions, current network side conditions not consistent with training dataset, etc.,)  </w:t>
      </w:r>
      <w:r w:rsidR="00DE2429">
        <w:t xml:space="preserve">  </w:t>
      </w:r>
    </w:p>
    <w:p w14:paraId="114EB80E" w14:textId="77777777" w:rsidR="00DE2429" w:rsidRDefault="00DE2429" w:rsidP="00C15AF1">
      <w:pPr>
        <w:jc w:val="left"/>
      </w:pPr>
    </w:p>
    <w:p w14:paraId="08E62AB8" w14:textId="052A1930" w:rsidR="00DE2429" w:rsidRDefault="004870B5" w:rsidP="00C15AF1">
      <w:pPr>
        <w:jc w:val="left"/>
      </w:pPr>
      <w:r>
        <w:t>The main reason</w:t>
      </w:r>
      <w:r w:rsidR="00F3653F">
        <w:t xml:space="preserve">s </w:t>
      </w:r>
      <w:r>
        <w:t xml:space="preserve">behind not supporting these features with RRC reconfiguration complete </w:t>
      </w:r>
      <w:r w:rsidR="005461A0">
        <w:t>were</w:t>
      </w:r>
      <w:r>
        <w:t xml:space="preserve"> that:</w:t>
      </w:r>
    </w:p>
    <w:p w14:paraId="5D015F15" w14:textId="1847840A" w:rsidR="00F3653F" w:rsidRDefault="004870B5" w:rsidP="00C15AF1">
      <w:pPr>
        <w:pStyle w:val="ListParagraph"/>
        <w:numPr>
          <w:ilvl w:val="0"/>
          <w:numId w:val="51"/>
        </w:numPr>
      </w:pPr>
      <w:r>
        <w:t>If a UE is configured to report applicability change</w:t>
      </w:r>
      <w:r w:rsidR="00F3653F">
        <w:t xml:space="preserve"> via UAI, the UE will already report it via UAI instead of waiting for a subsequent reconfiguration and indicate the applicability change in the complete message [</w:t>
      </w:r>
      <w:r w:rsidR="008E1D2C">
        <w:t>2]</w:t>
      </w:r>
    </w:p>
    <w:p w14:paraId="07486471" w14:textId="4BE81098" w:rsidR="00F3653F" w:rsidRDefault="00F3653F" w:rsidP="00C15AF1">
      <w:pPr>
        <w:pStyle w:val="ListParagraph"/>
        <w:numPr>
          <w:ilvl w:val="0"/>
          <w:numId w:val="51"/>
        </w:numPr>
      </w:pPr>
      <w:r>
        <w:lastRenderedPageBreak/>
        <w:t>The typical RRC processing time is in the order of 5-16ms and thus very unlikely that the applicability of configurations that were not modified in the preceding RRC reconfiguration message to change during this very short time (e.g., due to changes in UE side conditions) [</w:t>
      </w:r>
      <w:r w:rsidR="008E1D2C">
        <w:t>3</w:t>
      </w:r>
      <w:r>
        <w:t>]</w:t>
      </w:r>
    </w:p>
    <w:p w14:paraId="499A5916" w14:textId="710FD5FE" w:rsidR="00F3653F" w:rsidRDefault="00F3653F" w:rsidP="009E6FDB">
      <w:pPr>
        <w:jc w:val="left"/>
      </w:pPr>
    </w:p>
    <w:p w14:paraId="411713EB" w14:textId="640374D1" w:rsidR="005A2DCF" w:rsidRDefault="005A2DCF" w:rsidP="00C15AF1">
      <w:pPr>
        <w:jc w:val="left"/>
      </w:pPr>
      <w:r>
        <w:t xml:space="preserve">Since </w:t>
      </w:r>
      <w:r w:rsidRPr="005A2DCF">
        <w:t>it has already been agreed that applicability reporting via UAI is always configured</w:t>
      </w:r>
      <w:r>
        <w:t xml:space="preserve">, it is unnecessary to complicate the applicability reporting procedure by enabling the reconfiguration complete message to be also used also for reporting information related to configurations that were not included in the associated reconfiguration message. </w:t>
      </w:r>
    </w:p>
    <w:p w14:paraId="0DFBBBA0" w14:textId="12F993DF" w:rsidR="005A2DCF" w:rsidRPr="008F08F1" w:rsidRDefault="005A2DCF" w:rsidP="00C15AF1">
      <w:pPr>
        <w:tabs>
          <w:tab w:val="left" w:pos="1377"/>
        </w:tabs>
        <w:ind w:left="1354" w:hanging="1354"/>
        <w:jc w:val="left"/>
        <w:rPr>
          <w:rFonts w:cs="Arial"/>
          <w:b/>
        </w:rPr>
      </w:pPr>
      <w:r w:rsidRPr="000932A1">
        <w:rPr>
          <w:rFonts w:cs="Arial"/>
          <w:b/>
          <w:u w:val="single"/>
        </w:rPr>
        <w:t>Observation 1</w:t>
      </w:r>
      <w:r w:rsidRPr="000932A1">
        <w:rPr>
          <w:rFonts w:cs="Arial"/>
          <w:bCs/>
          <w:i/>
          <w:iCs/>
          <w:u w:val="single"/>
        </w:rPr>
        <w:t>:</w:t>
      </w:r>
      <w:r w:rsidRPr="005A2DCF">
        <w:rPr>
          <w:rFonts w:cs="Arial"/>
          <w:bCs/>
          <w:i/>
          <w:iCs/>
        </w:rPr>
        <w:t xml:space="preserve"> </w:t>
      </w:r>
      <w:r>
        <w:rPr>
          <w:rFonts w:cs="Arial"/>
          <w:bCs/>
          <w:i/>
          <w:iCs/>
        </w:rPr>
        <w:t xml:space="preserve">Since it’s been agreed that applicability reporting via UAI is </w:t>
      </w:r>
      <w:r w:rsidRPr="009E6FDB">
        <w:rPr>
          <w:rFonts w:cs="Arial"/>
          <w:b/>
          <w:i/>
          <w:iCs/>
        </w:rPr>
        <w:t>always</w:t>
      </w:r>
      <w:r>
        <w:rPr>
          <w:rFonts w:cs="Arial"/>
          <w:bCs/>
          <w:i/>
          <w:iCs/>
        </w:rPr>
        <w:t xml:space="preserve"> configured, there is no necessity to report applicability change via RRC Reconfiguration Complete.</w:t>
      </w:r>
    </w:p>
    <w:p w14:paraId="2DFF43AE" w14:textId="77777777" w:rsidR="005A2DCF" w:rsidRDefault="005A2DCF" w:rsidP="009E6FDB">
      <w:pPr>
        <w:jc w:val="left"/>
      </w:pPr>
    </w:p>
    <w:p w14:paraId="13B24783" w14:textId="31F8B9DE" w:rsidR="00EC23AF" w:rsidRDefault="005A2DCF" w:rsidP="009E6FDB">
      <w:pPr>
        <w:jc w:val="left"/>
      </w:pPr>
      <w:r>
        <w:t>Thus, we propose:</w:t>
      </w:r>
    </w:p>
    <w:p w14:paraId="72877DF7" w14:textId="77777777" w:rsidR="003A5AA7" w:rsidRDefault="003A5AA7" w:rsidP="009E6FDB">
      <w:pPr>
        <w:jc w:val="left"/>
      </w:pPr>
    </w:p>
    <w:p w14:paraId="32D1EE2F" w14:textId="4E29110A" w:rsidR="005A2DCF" w:rsidRDefault="005A2DCF" w:rsidP="00C15AF1">
      <w:pPr>
        <w:tabs>
          <w:tab w:val="left" w:pos="1377"/>
        </w:tabs>
        <w:ind w:left="1170" w:hanging="1170"/>
        <w:jc w:val="left"/>
        <w:rPr>
          <w:rFonts w:cs="Arial"/>
          <w:b/>
          <w:i/>
          <w:iCs/>
        </w:rPr>
      </w:pPr>
      <w:r w:rsidRPr="000932A1">
        <w:rPr>
          <w:rFonts w:cs="Arial"/>
          <w:b/>
          <w:u w:val="single"/>
        </w:rPr>
        <w:t>Proposal 1:</w:t>
      </w:r>
      <w:r w:rsidRPr="00F50E1F">
        <w:rPr>
          <w:rFonts w:cs="Arial"/>
          <w:b/>
        </w:rPr>
        <w:t xml:space="preserve"> </w:t>
      </w:r>
      <w:r w:rsidRPr="00F50E1F">
        <w:rPr>
          <w:rFonts w:cs="Arial"/>
          <w:b/>
          <w:i/>
          <w:iCs/>
        </w:rPr>
        <w:t xml:space="preserve">RAN2 to </w:t>
      </w:r>
      <w:r>
        <w:rPr>
          <w:rFonts w:cs="Arial"/>
          <w:b/>
          <w:i/>
          <w:iCs/>
        </w:rPr>
        <w:t xml:space="preserve">confirm that RRC Reconfiguration Complete is to be used only for applicability reporting of </w:t>
      </w:r>
      <w:r w:rsidR="00C500FA">
        <w:rPr>
          <w:rFonts w:cs="Arial"/>
          <w:b/>
          <w:i/>
          <w:iCs/>
        </w:rPr>
        <w:t xml:space="preserve">RRM </w:t>
      </w:r>
      <w:r w:rsidR="00E30BC8">
        <w:rPr>
          <w:rFonts w:cs="Arial"/>
          <w:b/>
          <w:i/>
          <w:iCs/>
        </w:rPr>
        <w:t xml:space="preserve">measurement prediction </w:t>
      </w:r>
      <w:r>
        <w:rPr>
          <w:rFonts w:cs="Arial"/>
          <w:b/>
          <w:i/>
          <w:iCs/>
        </w:rPr>
        <w:t xml:space="preserve">configurations that are included in the preceding RRC Reconfiguration message and all other reporting related to applicability is performed via UAI. </w:t>
      </w:r>
    </w:p>
    <w:p w14:paraId="4841F185" w14:textId="77777777" w:rsidR="005A2DCF" w:rsidRDefault="005A2DCF" w:rsidP="009E6FDB">
      <w:pPr>
        <w:jc w:val="left"/>
      </w:pPr>
    </w:p>
    <w:p w14:paraId="128A6088" w14:textId="10D9DC98" w:rsidR="005461A0" w:rsidRDefault="005461A0" w:rsidP="00C15AF1">
      <w:pPr>
        <w:jc w:val="left"/>
      </w:pPr>
      <w:r w:rsidRPr="008F08F1">
        <w:rPr>
          <w:highlight w:val="darkGray"/>
        </w:rPr>
        <w:t>[</w:t>
      </w:r>
      <w:r>
        <w:rPr>
          <w:highlight w:val="darkGray"/>
        </w:rPr>
        <w:t>Autonomous release and fallback to non</w:t>
      </w:r>
      <w:r w:rsidR="00605C94">
        <w:rPr>
          <w:highlight w:val="darkGray"/>
        </w:rPr>
        <w:t>-</w:t>
      </w:r>
      <w:r>
        <w:rPr>
          <w:highlight w:val="darkGray"/>
        </w:rPr>
        <w:t>AIML operations</w:t>
      </w:r>
      <w:r w:rsidRPr="008F08F1">
        <w:rPr>
          <w:highlight w:val="darkGray"/>
        </w:rPr>
        <w:t>]</w:t>
      </w:r>
    </w:p>
    <w:p w14:paraId="4CC0ED8D" w14:textId="7180EDC1" w:rsidR="005461A0" w:rsidRDefault="005461A0" w:rsidP="009E6FDB">
      <w:pPr>
        <w:jc w:val="left"/>
      </w:pPr>
      <w:r>
        <w:t>Another aspect that was discussed but not agreed in RAN2-132 is whether the UE releases the AIML configuration autonomously when it becomes non-applicable and falls back to doing non</w:t>
      </w:r>
      <w:r w:rsidR="00605C94">
        <w:t>-</w:t>
      </w:r>
      <w:r>
        <w:t>AIML operations [1]:</w:t>
      </w:r>
    </w:p>
    <w:p w14:paraId="1393F9F8" w14:textId="309F3ECD" w:rsidR="005461A0" w:rsidRPr="009E6FDB" w:rsidRDefault="005461A0" w:rsidP="00C15AF1">
      <w:pPr>
        <w:numPr>
          <w:ilvl w:val="0"/>
          <w:numId w:val="48"/>
        </w:numPr>
        <w:pBdr>
          <w:top w:val="single" w:sz="4" w:space="1" w:color="auto"/>
          <w:left w:val="single" w:sz="4" w:space="4" w:color="auto"/>
          <w:bottom w:val="single" w:sz="4" w:space="1" w:color="auto"/>
          <w:right w:val="single" w:sz="4" w:space="4" w:color="auto"/>
        </w:pBdr>
        <w:jc w:val="left"/>
        <w:rPr>
          <w:i/>
          <w:iCs/>
          <w:szCs w:val="22"/>
          <w:lang w:val="en-US"/>
        </w:rPr>
      </w:pPr>
      <w:r w:rsidRPr="009E6FDB">
        <w:rPr>
          <w:i/>
          <w:iCs/>
          <w:szCs w:val="22"/>
        </w:rPr>
        <w:t>FFS on “If an inference configuration is inapplicable, UE-may include a flag to indicate its preference to release to NW. When UE indicates that an inference configuration is inapplicable, network is expected to release it i.e., autonomous release by UE is not supported.”</w:t>
      </w:r>
    </w:p>
    <w:p w14:paraId="09657012" w14:textId="761C4E84" w:rsidR="005461A0" w:rsidRPr="009E6FDB" w:rsidRDefault="005461A0" w:rsidP="00C15AF1">
      <w:pPr>
        <w:numPr>
          <w:ilvl w:val="0"/>
          <w:numId w:val="48"/>
        </w:numPr>
        <w:pBdr>
          <w:top w:val="single" w:sz="4" w:space="1" w:color="auto"/>
          <w:left w:val="single" w:sz="4" w:space="4" w:color="auto"/>
          <w:bottom w:val="single" w:sz="4" w:space="1" w:color="auto"/>
          <w:right w:val="single" w:sz="4" w:space="4" w:color="auto"/>
        </w:pBdr>
        <w:jc w:val="left"/>
        <w:rPr>
          <w:i/>
          <w:iCs/>
          <w:szCs w:val="22"/>
          <w:lang w:val="en-US"/>
        </w:rPr>
      </w:pPr>
      <w:r w:rsidRPr="009E6FDB">
        <w:rPr>
          <w:i/>
          <w:iCs/>
          <w:szCs w:val="22"/>
        </w:rPr>
        <w:t>FFS on “the UE doesn’t autonomous release the inference configuration when it becomes inapplicable. But the UE can autonomously be fallback to non-AI operation.”</w:t>
      </w:r>
    </w:p>
    <w:p w14:paraId="28FAC8BE" w14:textId="2EE95139" w:rsidR="005461A0" w:rsidRDefault="005461A0" w:rsidP="009E6FDB">
      <w:pPr>
        <w:jc w:val="left"/>
      </w:pPr>
    </w:p>
    <w:p w14:paraId="0F61EF74" w14:textId="02A4E5AB" w:rsidR="00F87376" w:rsidRDefault="00573C02" w:rsidP="009E6FDB">
      <w:pPr>
        <w:jc w:val="left"/>
      </w:pPr>
      <w:r>
        <w:t>A</w:t>
      </w:r>
      <w:r w:rsidR="00E041B6">
        <w:t xml:space="preserve">utonomous release of any configuration by the UE is </w:t>
      </w:r>
      <w:r>
        <w:t>typically reserved</w:t>
      </w:r>
      <w:r w:rsidR="00E041B6">
        <w:t xml:space="preserve"> </w:t>
      </w:r>
      <w:r>
        <w:t xml:space="preserve">for scenarios like </w:t>
      </w:r>
      <w:r w:rsidR="00E041B6">
        <w:t>RLF/re-establishment</w:t>
      </w:r>
      <w:r>
        <w:t>/CHO</w:t>
      </w:r>
      <w:r w:rsidR="00E041B6">
        <w:t>, mainly because th</w:t>
      </w:r>
      <w:r>
        <w:t>e</w:t>
      </w:r>
      <w:r w:rsidR="00E041B6">
        <w:t xml:space="preserve"> configurations being released cannot be used anymore by the UE (e.g., in the new target cell after re-establishment or CHO). </w:t>
      </w:r>
      <w:r>
        <w:t xml:space="preserve">For </w:t>
      </w:r>
      <w:r w:rsidR="00E041B6">
        <w:t>AIML</w:t>
      </w:r>
      <w:r>
        <w:t xml:space="preserve">, however, autonomous release of a temporarily inapplicable inference configuration is highly </w:t>
      </w:r>
      <w:r w:rsidR="00E041B6">
        <w:t>inefficient</w:t>
      </w:r>
      <w:r>
        <w:t xml:space="preserve">. It forces unnecessary RRC reconfiguration to restore the configuration/functionality </w:t>
      </w:r>
      <w:r w:rsidRPr="00573C02">
        <w:t xml:space="preserve">and prevents the network from knowing when the configuration becomes applicable again, as the UE stops applicability determination upon </w:t>
      </w:r>
      <w:r>
        <w:t xml:space="preserve">configuration </w:t>
      </w:r>
      <w:r w:rsidRPr="00573C02">
        <w:t>release</w:t>
      </w:r>
      <w:r>
        <w:t>.</w:t>
      </w:r>
    </w:p>
    <w:p w14:paraId="6DB6D01A" w14:textId="532753D8" w:rsidR="00573C02" w:rsidRDefault="00573C02" w:rsidP="00C15AF1">
      <w:pPr>
        <w:tabs>
          <w:tab w:val="left" w:pos="1377"/>
        </w:tabs>
        <w:ind w:left="1354" w:hanging="1354"/>
        <w:jc w:val="left"/>
        <w:rPr>
          <w:rFonts w:cs="Arial"/>
          <w:bCs/>
          <w:i/>
          <w:iCs/>
        </w:rPr>
      </w:pPr>
      <w:r w:rsidRPr="000932A1">
        <w:rPr>
          <w:rFonts w:cs="Arial"/>
          <w:b/>
          <w:u w:val="single"/>
        </w:rPr>
        <w:t>Observation 2</w:t>
      </w:r>
      <w:r w:rsidRPr="000932A1">
        <w:rPr>
          <w:rFonts w:cs="Arial"/>
          <w:b/>
          <w:i/>
          <w:iCs/>
          <w:u w:val="single"/>
        </w:rPr>
        <w:t>:</w:t>
      </w:r>
      <w:r w:rsidRPr="005A2DCF">
        <w:rPr>
          <w:rFonts w:cs="Arial"/>
          <w:bCs/>
          <w:i/>
          <w:iCs/>
        </w:rPr>
        <w:t xml:space="preserve"> </w:t>
      </w:r>
      <w:r w:rsidR="00C30F69">
        <w:rPr>
          <w:rFonts w:cs="Arial"/>
          <w:bCs/>
          <w:i/>
          <w:iCs/>
        </w:rPr>
        <w:t>Au</w:t>
      </w:r>
      <w:r w:rsidR="00B359BD" w:rsidRPr="00B359BD">
        <w:rPr>
          <w:rFonts w:cs="Arial"/>
          <w:bCs/>
          <w:i/>
          <w:iCs/>
        </w:rPr>
        <w:t xml:space="preserve">tonomous release of </w:t>
      </w:r>
      <w:r w:rsidR="00B359BD">
        <w:rPr>
          <w:rFonts w:cs="Arial"/>
          <w:bCs/>
          <w:i/>
          <w:iCs/>
        </w:rPr>
        <w:t xml:space="preserve">a </w:t>
      </w:r>
      <w:r w:rsidR="005A67B1">
        <w:rPr>
          <w:rFonts w:cs="Arial"/>
          <w:bCs/>
          <w:i/>
          <w:iCs/>
        </w:rPr>
        <w:t xml:space="preserve">temporarily </w:t>
      </w:r>
      <w:r w:rsidR="00B359BD">
        <w:rPr>
          <w:rFonts w:cs="Arial"/>
          <w:bCs/>
          <w:i/>
          <w:iCs/>
        </w:rPr>
        <w:t>non-</w:t>
      </w:r>
      <w:r w:rsidR="00B359BD" w:rsidRPr="00B359BD">
        <w:rPr>
          <w:rFonts w:cs="Arial"/>
          <w:bCs/>
          <w:i/>
          <w:iCs/>
        </w:rPr>
        <w:t>applicable inference configurations is inefficient and creates unnecessary signalling overhead</w:t>
      </w:r>
      <w:r w:rsidR="00B359BD">
        <w:rPr>
          <w:rFonts w:cs="Arial"/>
          <w:bCs/>
          <w:i/>
          <w:iCs/>
        </w:rPr>
        <w:t>.</w:t>
      </w:r>
    </w:p>
    <w:p w14:paraId="37B37252" w14:textId="77777777" w:rsidR="00573C02" w:rsidRDefault="00573C02" w:rsidP="009E6FDB">
      <w:pPr>
        <w:jc w:val="left"/>
        <w:rPr>
          <w:rFonts w:cs="Arial"/>
          <w:bCs/>
          <w:i/>
          <w:iCs/>
        </w:rPr>
      </w:pPr>
    </w:p>
    <w:p w14:paraId="6DAB5152" w14:textId="479D500B" w:rsidR="00E30BC8" w:rsidRDefault="00E30BC8" w:rsidP="009E6FDB">
      <w:pPr>
        <w:jc w:val="left"/>
        <w:rPr>
          <w:rFonts w:cs="Arial"/>
          <w:bCs/>
        </w:rPr>
      </w:pPr>
      <w:r>
        <w:rPr>
          <w:rFonts w:cs="Arial"/>
          <w:bCs/>
        </w:rPr>
        <w:t>Thus, we propose:</w:t>
      </w:r>
    </w:p>
    <w:p w14:paraId="064CA89C" w14:textId="47E6048E" w:rsidR="00E30BC8" w:rsidRDefault="00E141FF" w:rsidP="00C15AF1">
      <w:pPr>
        <w:tabs>
          <w:tab w:val="left" w:pos="1377"/>
        </w:tabs>
        <w:ind w:left="1170" w:hanging="1170"/>
        <w:jc w:val="left"/>
        <w:rPr>
          <w:rFonts w:cs="Arial"/>
          <w:b/>
          <w:i/>
          <w:iCs/>
        </w:rPr>
      </w:pPr>
      <w:r w:rsidRPr="000932A1">
        <w:rPr>
          <w:rFonts w:cs="Arial"/>
          <w:b/>
          <w:u w:val="single"/>
        </w:rPr>
        <w:t xml:space="preserve">Proposal </w:t>
      </w:r>
      <w:r>
        <w:rPr>
          <w:rFonts w:cs="Arial"/>
          <w:b/>
          <w:u w:val="single"/>
        </w:rPr>
        <w:t>2</w:t>
      </w:r>
      <w:r w:rsidRPr="000932A1">
        <w:rPr>
          <w:rFonts w:cs="Arial"/>
          <w:b/>
          <w:u w:val="single"/>
        </w:rPr>
        <w:t>:</w:t>
      </w:r>
      <w:r w:rsidRPr="00F50E1F">
        <w:rPr>
          <w:rFonts w:cs="Arial"/>
          <w:b/>
        </w:rPr>
        <w:t xml:space="preserve"> </w:t>
      </w:r>
      <w:r w:rsidR="00E30BC8" w:rsidRPr="00F50E1F">
        <w:rPr>
          <w:rFonts w:cs="Arial"/>
          <w:b/>
          <w:i/>
          <w:iCs/>
        </w:rPr>
        <w:t xml:space="preserve">RAN2 to </w:t>
      </w:r>
      <w:r w:rsidR="00E30BC8">
        <w:rPr>
          <w:rFonts w:cs="Arial"/>
          <w:b/>
          <w:i/>
          <w:iCs/>
        </w:rPr>
        <w:t xml:space="preserve">confirm that the UE </w:t>
      </w:r>
      <w:r w:rsidR="002F25F2">
        <w:rPr>
          <w:rFonts w:cs="Arial"/>
          <w:b/>
          <w:i/>
          <w:iCs/>
        </w:rPr>
        <w:t>shall</w:t>
      </w:r>
      <w:r w:rsidR="00E30BC8">
        <w:rPr>
          <w:rFonts w:cs="Arial"/>
          <w:b/>
          <w:i/>
          <w:iCs/>
        </w:rPr>
        <w:t xml:space="preserve"> not autonomously release an </w:t>
      </w:r>
      <w:r w:rsidR="00C500FA">
        <w:rPr>
          <w:rFonts w:cs="Arial"/>
          <w:b/>
          <w:i/>
          <w:iCs/>
        </w:rPr>
        <w:t xml:space="preserve">RRM </w:t>
      </w:r>
      <w:r w:rsidR="003C7D1B">
        <w:rPr>
          <w:rFonts w:cs="Arial"/>
          <w:b/>
          <w:i/>
          <w:iCs/>
        </w:rPr>
        <w:t xml:space="preserve">measurement prediction </w:t>
      </w:r>
      <w:r w:rsidR="00E30BC8">
        <w:rPr>
          <w:rFonts w:cs="Arial"/>
          <w:b/>
          <w:i/>
          <w:iCs/>
        </w:rPr>
        <w:t xml:space="preserve">inference configuration when the configuration becomes non-applicable (i.e., release is performed only upon explicit indication from the network). </w:t>
      </w:r>
    </w:p>
    <w:p w14:paraId="611F6284" w14:textId="77777777" w:rsidR="00E30BC8" w:rsidRPr="009E6FDB" w:rsidRDefault="00E30BC8" w:rsidP="009E6FDB">
      <w:pPr>
        <w:jc w:val="left"/>
        <w:rPr>
          <w:rFonts w:cs="Arial"/>
          <w:bCs/>
        </w:rPr>
      </w:pPr>
    </w:p>
    <w:p w14:paraId="1F122569" w14:textId="5388DAFF" w:rsidR="00E30BC8" w:rsidRDefault="00E30BC8" w:rsidP="00C15AF1">
      <w:pPr>
        <w:jc w:val="left"/>
      </w:pPr>
      <w:r w:rsidRPr="008F08F1">
        <w:rPr>
          <w:highlight w:val="darkGray"/>
        </w:rPr>
        <w:t>[</w:t>
      </w:r>
      <w:r>
        <w:rPr>
          <w:highlight w:val="darkGray"/>
        </w:rPr>
        <w:t>Fallback to non</w:t>
      </w:r>
      <w:r w:rsidR="00605C94">
        <w:rPr>
          <w:highlight w:val="darkGray"/>
        </w:rPr>
        <w:t>-</w:t>
      </w:r>
      <w:r>
        <w:rPr>
          <w:highlight w:val="darkGray"/>
        </w:rPr>
        <w:t>AIML operation/configuration</w:t>
      </w:r>
      <w:r w:rsidRPr="008F08F1">
        <w:rPr>
          <w:highlight w:val="darkGray"/>
        </w:rPr>
        <w:t>]</w:t>
      </w:r>
    </w:p>
    <w:p w14:paraId="44AE6657" w14:textId="77777777" w:rsidR="00E30BC8" w:rsidRDefault="00E30BC8" w:rsidP="009E6FDB">
      <w:pPr>
        <w:jc w:val="left"/>
        <w:rPr>
          <w:rFonts w:cs="Arial"/>
          <w:bCs/>
          <w:i/>
          <w:iCs/>
        </w:rPr>
      </w:pPr>
    </w:p>
    <w:p w14:paraId="663CC529" w14:textId="772039D5" w:rsidR="00E30BC8" w:rsidRDefault="00E30BC8" w:rsidP="009E6FDB">
      <w:pPr>
        <w:jc w:val="left"/>
      </w:pPr>
      <w:r>
        <w:lastRenderedPageBreak/>
        <w:t xml:space="preserve">In </w:t>
      </w:r>
      <w:r w:rsidR="00133A8D">
        <w:t>R</w:t>
      </w:r>
      <w:r>
        <w:t xml:space="preserve">el-19 AIML for BM, when the UE determines that a configuration is non-applicable, it will inform the network via UAI, but it keeps performing inference based on the configuration until the network explicitly deactivates/releases the configuration. That is, the UE doesn’t perform autonomous fallback to non-AIML operations. </w:t>
      </w:r>
    </w:p>
    <w:p w14:paraId="45133582" w14:textId="4B732D19" w:rsidR="00834C4E" w:rsidRDefault="00E70E79" w:rsidP="009E6FDB">
      <w:pPr>
        <w:jc w:val="left"/>
      </w:pPr>
      <w:r>
        <w:t>During RAN2-132,</w:t>
      </w:r>
      <w:r w:rsidR="00E30BC8">
        <w:t xml:space="preserve"> </w:t>
      </w:r>
      <w:r>
        <w:t xml:space="preserve">some companies </w:t>
      </w:r>
      <w:r w:rsidR="00E30BC8">
        <w:t>argued</w:t>
      </w:r>
      <w:r>
        <w:t xml:space="preserve"> </w:t>
      </w:r>
      <w:r w:rsidR="00E30BC8">
        <w:t xml:space="preserve">that </w:t>
      </w:r>
      <w:r>
        <w:t xml:space="preserve">fallback to legacy/non-AIML operation </w:t>
      </w:r>
      <w:r w:rsidR="00E30BC8">
        <w:t xml:space="preserve">should be done when a functionality becomes non applicable </w:t>
      </w:r>
      <w:r>
        <w:t xml:space="preserve">because not doing so will not only lead to signalling overhead (e.g., sending of erroneous predictions in the UL, reconfiguration message needed to fallback to legacy, etc.) </w:t>
      </w:r>
      <w:r w:rsidR="0065332E">
        <w:t>but</w:t>
      </w:r>
      <w:r>
        <w:t xml:space="preserve"> </w:t>
      </w:r>
      <w:r w:rsidR="00B466DC">
        <w:t xml:space="preserve">it may </w:t>
      </w:r>
      <w:r>
        <w:t>also</w:t>
      </w:r>
      <w:r w:rsidR="00EF261A">
        <w:t xml:space="preserve"> risk performance degradation such as RLF/HOF</w:t>
      </w:r>
      <w:r w:rsidR="00834C4E">
        <w:t>.</w:t>
      </w:r>
    </w:p>
    <w:p w14:paraId="41350864" w14:textId="54B0E66B" w:rsidR="00C15AF1" w:rsidRDefault="00834C4E" w:rsidP="009E6FDB">
      <w:pPr>
        <w:jc w:val="left"/>
      </w:pPr>
      <w:r>
        <w:t xml:space="preserve">We acknowledge that there could be signalling overhead due to the reporting of non-applicability and the sending of possibly inaccurate predicted measurements. However, the risk of performance degradation such as RLF/HOF is very low. For example, it is very unlikely that the UE sends a measurement prediction report that contains inaccurate values (due to using non-applicable model), and the network </w:t>
      </w:r>
      <w:proofErr w:type="gramStart"/>
      <w:r>
        <w:t>making a decision</w:t>
      </w:r>
      <w:proofErr w:type="gramEnd"/>
      <w:r>
        <w:t xml:space="preserve"> based on that and sending a HO command, before the network has received the UAI indicating the configuration is not applicable anymore</w:t>
      </w:r>
      <w:r w:rsidR="00C15AF1">
        <w:t xml:space="preserve">. </w:t>
      </w:r>
    </w:p>
    <w:p w14:paraId="1DEC9614" w14:textId="176202FF" w:rsidR="00C15AF1" w:rsidRDefault="00C15AF1" w:rsidP="00C15AF1">
      <w:pPr>
        <w:jc w:val="left"/>
      </w:pPr>
      <w:r>
        <w:t xml:space="preserve">Even in the case of indirect measurement predictions, the risk of not triggering an event that should have been triggered or triggering one that should not have been triggered is quite low due to </w:t>
      </w:r>
      <w:r w:rsidR="0035683C">
        <w:t xml:space="preserve">a </w:t>
      </w:r>
      <w:r>
        <w:t xml:space="preserve">few incorrect predicted samples. This is because the models are expected to use historical measurements/predictions and L3 filtering may also be applied (or filtered measurements are predicted and/or filtered measurements/predictions are used as input to the model). </w:t>
      </w:r>
    </w:p>
    <w:p w14:paraId="35F55D51" w14:textId="5B8EC4DB" w:rsidR="006E791E" w:rsidRDefault="00C15AF1" w:rsidP="00C15AF1">
      <w:pPr>
        <w:jc w:val="left"/>
      </w:pPr>
      <w:r>
        <w:t>I</w:t>
      </w:r>
      <w:r w:rsidR="00C16F9A">
        <w:t xml:space="preserve">f the AIML mobility use </w:t>
      </w:r>
      <w:r>
        <w:t>case</w:t>
      </w:r>
      <w:r w:rsidR="00C16F9A">
        <w:t>s</w:t>
      </w:r>
      <w:r>
        <w:t xml:space="preserve"> </w:t>
      </w:r>
      <w:r w:rsidR="00C16F9A">
        <w:t xml:space="preserve">are </w:t>
      </w:r>
      <w:r>
        <w:t>expanded in 6G to support CHO/CLTM</w:t>
      </w:r>
      <w:r w:rsidR="006E791E">
        <w:t xml:space="preserve"> based on AIML</w:t>
      </w:r>
      <w:r>
        <w:t>,</w:t>
      </w:r>
      <w:r w:rsidR="006E791E">
        <w:t xml:space="preserve"> the odds of the UE executing the wrong CHO/CLTM (or not triggering the CHO/CLTM on time) due to incorrect predictions will increase, and so will the risk of HOF/RLF. However, this is not an issue of concern for </w:t>
      </w:r>
      <w:r w:rsidR="00133A8D">
        <w:t>R</w:t>
      </w:r>
      <w:r w:rsidR="006E791E">
        <w:t>el-20 since UE triggered mobility based on pre-configurations and AIML</w:t>
      </w:r>
      <w:r w:rsidR="00E54D96">
        <w:t>-based predictions</w:t>
      </w:r>
      <w:r w:rsidR="006E791E">
        <w:t xml:space="preserve"> are not within the scope.</w:t>
      </w:r>
    </w:p>
    <w:p w14:paraId="420962FB" w14:textId="7CF4FA40" w:rsidR="00214D17" w:rsidRDefault="00214D17" w:rsidP="00214D17">
      <w:pPr>
        <w:tabs>
          <w:tab w:val="left" w:pos="1377"/>
        </w:tabs>
        <w:ind w:left="1354" w:hanging="1354"/>
        <w:jc w:val="left"/>
        <w:rPr>
          <w:rFonts w:cs="Arial"/>
          <w:bCs/>
          <w:i/>
          <w:iCs/>
        </w:rPr>
      </w:pPr>
      <w:r w:rsidRPr="00FE384F">
        <w:rPr>
          <w:rFonts w:cs="Arial"/>
          <w:b/>
          <w:u w:val="single"/>
        </w:rPr>
        <w:t>Observation 3:</w:t>
      </w:r>
      <w:r w:rsidRPr="005A2DCF">
        <w:rPr>
          <w:rFonts w:cs="Arial"/>
          <w:bCs/>
          <w:i/>
          <w:iCs/>
        </w:rPr>
        <w:t xml:space="preserve"> </w:t>
      </w:r>
      <w:r>
        <w:rPr>
          <w:rFonts w:cs="Arial"/>
          <w:bCs/>
          <w:i/>
          <w:iCs/>
        </w:rPr>
        <w:t xml:space="preserve">In </w:t>
      </w:r>
      <w:r w:rsidR="00133A8D">
        <w:rPr>
          <w:rFonts w:cs="Arial"/>
          <w:bCs/>
          <w:i/>
          <w:iCs/>
        </w:rPr>
        <w:t>R</w:t>
      </w:r>
      <w:r>
        <w:rPr>
          <w:rFonts w:cs="Arial"/>
          <w:bCs/>
          <w:i/>
          <w:iCs/>
        </w:rPr>
        <w:t>el-20, only network triggered mobility based on AIML is considered. Thus, the risk of RLF/HOF due to incorrect measurement prediction is very low because:</w:t>
      </w:r>
    </w:p>
    <w:p w14:paraId="6835B3C1" w14:textId="77777777" w:rsidR="00214D17" w:rsidRDefault="00214D17" w:rsidP="00214D17">
      <w:pPr>
        <w:pStyle w:val="ListParagraph"/>
        <w:numPr>
          <w:ilvl w:val="2"/>
          <w:numId w:val="51"/>
        </w:numPr>
        <w:tabs>
          <w:tab w:val="left" w:pos="1377"/>
        </w:tabs>
        <w:rPr>
          <w:rFonts w:cs="Arial"/>
          <w:bCs/>
          <w:i/>
          <w:iCs/>
        </w:rPr>
      </w:pPr>
      <w:r w:rsidRPr="009E6FDB">
        <w:rPr>
          <w:rFonts w:cs="Arial"/>
          <w:bCs/>
          <w:i/>
          <w:iCs/>
        </w:rPr>
        <w:t xml:space="preserve">the network is likely to receive the UAI indicating non-applicability </w:t>
      </w:r>
      <w:r>
        <w:rPr>
          <w:rFonts w:cs="Arial"/>
          <w:bCs/>
          <w:i/>
          <w:iCs/>
        </w:rPr>
        <w:t>before making a HO decision; and/or</w:t>
      </w:r>
    </w:p>
    <w:p w14:paraId="326853E3" w14:textId="2A4C3214" w:rsidR="00214D17" w:rsidRPr="009E6FDB" w:rsidRDefault="00214D17" w:rsidP="00214D17">
      <w:pPr>
        <w:pStyle w:val="ListParagraph"/>
        <w:numPr>
          <w:ilvl w:val="2"/>
          <w:numId w:val="51"/>
        </w:numPr>
        <w:tabs>
          <w:tab w:val="left" w:pos="1377"/>
        </w:tabs>
      </w:pPr>
      <w:r>
        <w:rPr>
          <w:rFonts w:cs="Arial"/>
          <w:bCs/>
          <w:i/>
          <w:iCs/>
        </w:rPr>
        <w:t xml:space="preserve">few incorrect samples </w:t>
      </w:r>
      <w:r w:rsidR="003C7D1B">
        <w:rPr>
          <w:rFonts w:cs="Arial"/>
          <w:bCs/>
          <w:i/>
          <w:iCs/>
        </w:rPr>
        <w:t>will not</w:t>
      </w:r>
      <w:r>
        <w:rPr>
          <w:rFonts w:cs="Arial"/>
          <w:bCs/>
          <w:i/>
          <w:iCs/>
        </w:rPr>
        <w:t xml:space="preserve"> drastically change filtered predict</w:t>
      </w:r>
      <w:r w:rsidR="003C7D1B">
        <w:rPr>
          <w:rFonts w:cs="Arial"/>
          <w:bCs/>
          <w:i/>
          <w:iCs/>
        </w:rPr>
        <w:t>ed measurements</w:t>
      </w:r>
      <w:r>
        <w:rPr>
          <w:rFonts w:cs="Arial"/>
          <w:bCs/>
          <w:i/>
          <w:iCs/>
        </w:rPr>
        <w:t xml:space="preserve"> (and/or the </w:t>
      </w:r>
      <w:r w:rsidR="00135DEE">
        <w:rPr>
          <w:rFonts w:cs="Arial"/>
          <w:bCs/>
          <w:i/>
          <w:iCs/>
        </w:rPr>
        <w:t xml:space="preserve">inputs to the </w:t>
      </w:r>
      <w:r>
        <w:rPr>
          <w:rFonts w:cs="Arial"/>
          <w:bCs/>
          <w:i/>
          <w:iCs/>
        </w:rPr>
        <w:t xml:space="preserve">model </w:t>
      </w:r>
      <w:r w:rsidR="00135DEE">
        <w:rPr>
          <w:rFonts w:cs="Arial"/>
          <w:bCs/>
          <w:i/>
          <w:iCs/>
        </w:rPr>
        <w:t xml:space="preserve">are </w:t>
      </w:r>
      <w:r>
        <w:rPr>
          <w:rFonts w:cs="Arial"/>
          <w:bCs/>
          <w:i/>
          <w:iCs/>
        </w:rPr>
        <w:t>measurements and/or predictions that are L3 filtered</w:t>
      </w:r>
      <w:r w:rsidR="003C7D1B">
        <w:rPr>
          <w:rFonts w:cs="Arial"/>
          <w:bCs/>
          <w:i/>
          <w:iCs/>
        </w:rPr>
        <w:t>)</w:t>
      </w:r>
    </w:p>
    <w:p w14:paraId="185BF4A9" w14:textId="77777777" w:rsidR="00214D17" w:rsidRDefault="00214D17" w:rsidP="009E6FDB">
      <w:pPr>
        <w:pStyle w:val="ListParagraph"/>
        <w:tabs>
          <w:tab w:val="left" w:pos="1377"/>
        </w:tabs>
        <w:ind w:left="2160"/>
      </w:pPr>
    </w:p>
    <w:p w14:paraId="0622413F" w14:textId="6A2FFD98" w:rsidR="00841460" w:rsidRDefault="006E791E" w:rsidP="00C15AF1">
      <w:pPr>
        <w:jc w:val="left"/>
      </w:pPr>
      <w:r>
        <w:t xml:space="preserve">In addition to the above, it may not even be possible to fallback to non-AIML operations in some cases when an inference configuration becomes non-applicable. If an inter-frequency measurement prediction becomes non-applicable, the UE may not be able to do the actual measurements without being configured with measurement gaps. Even if the UE has the measurement gap configuration, activating the gap by its own may lead to (at least temporary) </w:t>
      </w:r>
      <w:r w:rsidR="001D0456">
        <w:t xml:space="preserve">mismatch </w:t>
      </w:r>
      <w:r>
        <w:t xml:space="preserve">between the </w:t>
      </w:r>
      <w:r w:rsidR="00214D17">
        <w:t xml:space="preserve">UE </w:t>
      </w:r>
      <w:r>
        <w:t xml:space="preserve">configuration/context at the UE and the network, </w:t>
      </w:r>
      <w:r w:rsidR="000D6441">
        <w:t xml:space="preserve">and </w:t>
      </w:r>
      <w:r>
        <w:t xml:space="preserve">data loss or DL/UL resource wastage may occur as the network may schedule the UE </w:t>
      </w:r>
      <w:r w:rsidR="00214D17">
        <w:t>during the gaps</w:t>
      </w:r>
      <w:r>
        <w:t xml:space="preserve">. </w:t>
      </w:r>
    </w:p>
    <w:p w14:paraId="204830A6" w14:textId="6D2D83B2" w:rsidR="006E791E" w:rsidRDefault="006E791E" w:rsidP="00C15AF1">
      <w:pPr>
        <w:jc w:val="left"/>
      </w:pPr>
      <w:r>
        <w:t xml:space="preserve"> </w:t>
      </w:r>
    </w:p>
    <w:p w14:paraId="4EC1CD0A" w14:textId="53197C5C" w:rsidR="006E791E" w:rsidRDefault="006E791E" w:rsidP="006E791E">
      <w:pPr>
        <w:tabs>
          <w:tab w:val="left" w:pos="1377"/>
        </w:tabs>
        <w:ind w:left="1354" w:hanging="1354"/>
        <w:jc w:val="left"/>
        <w:rPr>
          <w:rFonts w:cs="Arial"/>
          <w:bCs/>
          <w:i/>
          <w:iCs/>
        </w:rPr>
      </w:pPr>
      <w:r w:rsidRPr="00FE384F">
        <w:rPr>
          <w:rFonts w:cs="Arial"/>
          <w:b/>
          <w:u w:val="single"/>
        </w:rPr>
        <w:t xml:space="preserve">Observation </w:t>
      </w:r>
      <w:r w:rsidR="003C7D1B" w:rsidRPr="00FE384F">
        <w:rPr>
          <w:rFonts w:cs="Arial"/>
          <w:b/>
          <w:u w:val="single"/>
        </w:rPr>
        <w:t>4</w:t>
      </w:r>
      <w:r w:rsidRPr="00FE384F">
        <w:rPr>
          <w:rFonts w:cs="Arial"/>
          <w:b/>
          <w:i/>
          <w:iCs/>
          <w:u w:val="single"/>
        </w:rPr>
        <w:t>:</w:t>
      </w:r>
      <w:r w:rsidRPr="005A2DCF">
        <w:rPr>
          <w:rFonts w:cs="Arial"/>
          <w:bCs/>
          <w:i/>
          <w:iCs/>
        </w:rPr>
        <w:t xml:space="preserve"> </w:t>
      </w:r>
      <w:r w:rsidR="00214D17">
        <w:rPr>
          <w:rFonts w:cs="Arial"/>
          <w:bCs/>
          <w:i/>
          <w:iCs/>
        </w:rPr>
        <w:t>For RRM measurement prediction, autonomous fallback to legacy when an AIML inference configuration becomes non-applicable may not be possible in some cases (e.g., inter-frequency measurement prediction)</w:t>
      </w:r>
      <w:r>
        <w:rPr>
          <w:rFonts w:cs="Arial"/>
          <w:bCs/>
          <w:i/>
          <w:iCs/>
        </w:rPr>
        <w:t>.</w:t>
      </w:r>
    </w:p>
    <w:p w14:paraId="7BE3E101" w14:textId="77777777" w:rsidR="006E791E" w:rsidRDefault="006E791E" w:rsidP="006E791E">
      <w:pPr>
        <w:jc w:val="left"/>
        <w:rPr>
          <w:rFonts w:cs="Arial"/>
          <w:bCs/>
          <w:i/>
          <w:iCs/>
        </w:rPr>
      </w:pPr>
    </w:p>
    <w:p w14:paraId="703BE489" w14:textId="77777777" w:rsidR="006E791E" w:rsidRDefault="006E791E" w:rsidP="006E791E">
      <w:pPr>
        <w:jc w:val="left"/>
        <w:rPr>
          <w:rFonts w:cs="Arial"/>
          <w:bCs/>
        </w:rPr>
      </w:pPr>
      <w:r>
        <w:rPr>
          <w:rFonts w:cs="Arial"/>
          <w:bCs/>
        </w:rPr>
        <w:t>Thus, we propose:</w:t>
      </w:r>
    </w:p>
    <w:p w14:paraId="18821B88" w14:textId="642C94D8" w:rsidR="0000158C" w:rsidRDefault="00C537AD" w:rsidP="0000158C">
      <w:pPr>
        <w:tabs>
          <w:tab w:val="left" w:pos="1377"/>
        </w:tabs>
        <w:ind w:left="1170" w:hanging="1170"/>
        <w:jc w:val="left"/>
        <w:rPr>
          <w:rFonts w:cs="Arial"/>
          <w:b/>
          <w:i/>
          <w:iCs/>
        </w:rPr>
      </w:pPr>
      <w:r w:rsidRPr="000932A1">
        <w:rPr>
          <w:rFonts w:cs="Arial"/>
          <w:b/>
          <w:u w:val="single"/>
        </w:rPr>
        <w:t xml:space="preserve">Proposal </w:t>
      </w:r>
      <w:r>
        <w:rPr>
          <w:rFonts w:cs="Arial"/>
          <w:b/>
          <w:u w:val="single"/>
        </w:rPr>
        <w:t>3</w:t>
      </w:r>
      <w:r w:rsidRPr="000932A1">
        <w:rPr>
          <w:rFonts w:cs="Arial"/>
          <w:b/>
          <w:u w:val="single"/>
        </w:rPr>
        <w:t>:</w:t>
      </w:r>
      <w:r w:rsidRPr="00F50E1F">
        <w:rPr>
          <w:rFonts w:cs="Arial"/>
          <w:b/>
        </w:rPr>
        <w:t xml:space="preserve"> </w:t>
      </w:r>
      <w:r w:rsidR="0000158C" w:rsidRPr="00F50E1F">
        <w:rPr>
          <w:rFonts w:cs="Arial"/>
          <w:b/>
          <w:i/>
          <w:iCs/>
        </w:rPr>
        <w:t xml:space="preserve">RAN2 to </w:t>
      </w:r>
      <w:r w:rsidR="0000158C">
        <w:rPr>
          <w:rFonts w:cs="Arial"/>
          <w:b/>
          <w:i/>
          <w:iCs/>
        </w:rPr>
        <w:t xml:space="preserve">confirm that the UE continues to </w:t>
      </w:r>
      <w:r w:rsidR="00ED08A8">
        <w:rPr>
          <w:rFonts w:cs="Arial"/>
          <w:b/>
          <w:i/>
          <w:iCs/>
        </w:rPr>
        <w:t>perform</w:t>
      </w:r>
      <w:r w:rsidR="0000158C">
        <w:rPr>
          <w:rFonts w:cs="Arial"/>
          <w:b/>
          <w:i/>
          <w:iCs/>
        </w:rPr>
        <w:t xml:space="preserve"> the inference based on a non-applicable </w:t>
      </w:r>
      <w:r w:rsidR="000D6441">
        <w:rPr>
          <w:rFonts w:cs="Arial"/>
          <w:b/>
          <w:i/>
          <w:iCs/>
        </w:rPr>
        <w:t xml:space="preserve">RRM </w:t>
      </w:r>
      <w:r w:rsidR="00614FAB">
        <w:rPr>
          <w:rFonts w:cs="Arial"/>
          <w:b/>
          <w:i/>
          <w:iCs/>
        </w:rPr>
        <w:t xml:space="preserve">measurement prediction </w:t>
      </w:r>
      <w:r w:rsidR="0000158C">
        <w:rPr>
          <w:rFonts w:cs="Arial"/>
          <w:b/>
          <w:i/>
          <w:iCs/>
        </w:rPr>
        <w:t xml:space="preserve">configuration until explicit release/deactivation from the network. </w:t>
      </w:r>
    </w:p>
    <w:p w14:paraId="6DA8F581" w14:textId="77777777" w:rsidR="00573C02" w:rsidRPr="009E6FDB" w:rsidRDefault="00573C02" w:rsidP="009E6FDB">
      <w:pPr>
        <w:jc w:val="left"/>
      </w:pPr>
    </w:p>
    <w:p w14:paraId="636C7E37" w14:textId="77777777" w:rsidR="00233BAA" w:rsidRPr="00F50E1F" w:rsidRDefault="00233BAA" w:rsidP="00C15AF1">
      <w:pPr>
        <w:pStyle w:val="Heading2"/>
        <w:numPr>
          <w:ilvl w:val="0"/>
          <w:numId w:val="0"/>
        </w:numPr>
        <w:ind w:left="576" w:hanging="576"/>
        <w:rPr>
          <w:sz w:val="28"/>
          <w:szCs w:val="28"/>
        </w:rPr>
      </w:pPr>
      <w:r w:rsidRPr="00F50E1F">
        <w:rPr>
          <w:sz w:val="28"/>
          <w:szCs w:val="28"/>
        </w:rPr>
        <w:lastRenderedPageBreak/>
        <w:t>2.2 UE Capability</w:t>
      </w:r>
    </w:p>
    <w:p w14:paraId="5432EC34" w14:textId="77777777" w:rsidR="00233BAA" w:rsidRPr="00F50E1F" w:rsidRDefault="00233BAA" w:rsidP="00C15AF1">
      <w:pPr>
        <w:jc w:val="left"/>
      </w:pPr>
      <w:r w:rsidRPr="00F50E1F">
        <w:t xml:space="preserve">For RRM measurement prediction, the following scenarios are to be supported: </w:t>
      </w:r>
      <w:r w:rsidRPr="00F50E1F">
        <w:rPr>
          <w:i/>
          <w:iCs/>
        </w:rPr>
        <w:t xml:space="preserve">intra-frequency </w:t>
      </w:r>
      <w:r w:rsidRPr="00F50E1F">
        <w:rPr>
          <w:rFonts w:hint="eastAsia"/>
          <w:i/>
          <w:iCs/>
        </w:rPr>
        <w:t>temporal domain case A</w:t>
      </w:r>
      <w:r w:rsidRPr="00F50E1F">
        <w:rPr>
          <w:i/>
          <w:iCs/>
        </w:rPr>
        <w:t xml:space="preserve"> </w:t>
      </w:r>
      <w:r w:rsidRPr="00F50E1F">
        <w:rPr>
          <w:iCs/>
        </w:rPr>
        <w:t>(i.e., prediction of measurements in a prediction window by using historical</w:t>
      </w:r>
      <w:r w:rsidRPr="00F50E1F">
        <w:rPr>
          <w:rFonts w:hint="eastAsia"/>
          <w:iCs/>
        </w:rPr>
        <w:t xml:space="preserve"> actual</w:t>
      </w:r>
      <w:r w:rsidRPr="00F50E1F">
        <w:rPr>
          <w:iCs/>
        </w:rPr>
        <w:t xml:space="preserve"> measurements in an observation window)</w:t>
      </w:r>
      <w:r w:rsidRPr="00F50E1F">
        <w:rPr>
          <w:rFonts w:hint="eastAsia"/>
          <w:iCs/>
        </w:rPr>
        <w:t xml:space="preserve">, </w:t>
      </w:r>
      <w:r w:rsidRPr="00F50E1F">
        <w:rPr>
          <w:rFonts w:hint="eastAsia"/>
          <w:i/>
        </w:rPr>
        <w:t>intra-frequency temporal domain case B</w:t>
      </w:r>
      <w:r w:rsidRPr="00F50E1F">
        <w:rPr>
          <w:iCs/>
        </w:rPr>
        <w:t xml:space="preserve"> (similar to case A, but </w:t>
      </w:r>
      <w:r w:rsidRPr="00F50E1F">
        <w:rPr>
          <w:rFonts w:hint="eastAsia"/>
          <w:iCs/>
        </w:rPr>
        <w:t xml:space="preserve">predicted </w:t>
      </w:r>
      <w:r w:rsidRPr="00F50E1F">
        <w:t xml:space="preserve">measurement result(s) in previous prediction window are skipped), </w:t>
      </w:r>
      <w:r w:rsidRPr="00F50E1F">
        <w:rPr>
          <w:iCs/>
        </w:rPr>
        <w:t>and inter-frequency prediction</w:t>
      </w:r>
      <w:r w:rsidRPr="00F50E1F">
        <w:t>. Thus, capability reporting at least at this level of granularity is required for the network to know how to configure the UE for AIML mobility inference.</w:t>
      </w:r>
    </w:p>
    <w:p w14:paraId="34DE849B" w14:textId="77777777" w:rsidR="007D0A06" w:rsidRPr="00F50E1F" w:rsidRDefault="007D0A06" w:rsidP="00C15AF1">
      <w:pPr>
        <w:jc w:val="left"/>
      </w:pPr>
    </w:p>
    <w:p w14:paraId="409C7A21" w14:textId="03A82A2C" w:rsidR="00233BAA" w:rsidRPr="00F50E1F" w:rsidRDefault="00C537AD" w:rsidP="00C15AF1">
      <w:pPr>
        <w:tabs>
          <w:tab w:val="left" w:pos="1377"/>
        </w:tabs>
        <w:ind w:left="1170" w:hanging="1170"/>
        <w:jc w:val="left"/>
        <w:rPr>
          <w:i/>
          <w:iCs/>
        </w:rPr>
      </w:pPr>
      <w:r w:rsidRPr="000932A1">
        <w:rPr>
          <w:rFonts w:cs="Arial"/>
          <w:b/>
          <w:u w:val="single"/>
        </w:rPr>
        <w:t xml:space="preserve">Proposal </w:t>
      </w:r>
      <w:r>
        <w:rPr>
          <w:rFonts w:cs="Arial"/>
          <w:b/>
          <w:u w:val="single"/>
        </w:rPr>
        <w:t>4</w:t>
      </w:r>
      <w:r w:rsidRPr="000932A1">
        <w:rPr>
          <w:rFonts w:cs="Arial"/>
          <w:b/>
          <w:u w:val="single"/>
        </w:rPr>
        <w:t>:</w:t>
      </w:r>
      <w:r w:rsidRPr="00F50E1F">
        <w:rPr>
          <w:rFonts w:cs="Arial"/>
          <w:b/>
        </w:rPr>
        <w:t xml:space="preserve"> </w:t>
      </w:r>
      <w:r w:rsidR="00233BAA" w:rsidRPr="00F50E1F">
        <w:rPr>
          <w:rFonts w:cs="Arial"/>
          <w:b/>
          <w:i/>
          <w:iCs/>
        </w:rPr>
        <w:t xml:space="preserve">RAN2 to introduce capability for RRM measurement prediction at least at a granularity of intra-frequency temporal domain case A, temporal domain case B, and inter-frequency prediction. </w:t>
      </w:r>
    </w:p>
    <w:p w14:paraId="4E062BC3" w14:textId="77777777" w:rsidR="00233BAA" w:rsidRPr="00F50E1F" w:rsidRDefault="00233BAA" w:rsidP="00C15AF1">
      <w:pPr>
        <w:pStyle w:val="Heading2"/>
        <w:numPr>
          <w:ilvl w:val="0"/>
          <w:numId w:val="0"/>
        </w:numPr>
        <w:ind w:left="576" w:hanging="576"/>
        <w:rPr>
          <w:sz w:val="28"/>
          <w:szCs w:val="28"/>
        </w:rPr>
      </w:pPr>
      <w:r w:rsidRPr="00F50E1F">
        <w:rPr>
          <w:sz w:val="28"/>
          <w:szCs w:val="28"/>
        </w:rPr>
        <w:t>2.3 Inference configuration/reporting</w:t>
      </w:r>
    </w:p>
    <w:p w14:paraId="5DC9C7A2" w14:textId="4596DDAF" w:rsidR="00233BAA" w:rsidRPr="00F50E1F" w:rsidRDefault="00233BAA" w:rsidP="00C15AF1">
      <w:pPr>
        <w:jc w:val="left"/>
      </w:pPr>
      <w:r w:rsidRPr="00F50E1F">
        <w:t>It is obvious that the inference and reporting configuration for RRM measurement prediction will be different from the AIML BM use case. Already, the following agreements are captured in the TR regarding the inference configuration/reporting for the RRM measurement prediction [</w:t>
      </w:r>
      <w:r w:rsidR="003C0F23">
        <w:t>4</w:t>
      </w:r>
      <w:r w:rsidRPr="00F50E1F">
        <w:t>, section 6.1.2.1.2]:</w:t>
      </w:r>
    </w:p>
    <w:p w14:paraId="20FC6BFE" w14:textId="77777777" w:rsidR="00233BAA" w:rsidRPr="00F50E1F" w:rsidRDefault="00233BAA" w:rsidP="00C15AF1">
      <w:pPr>
        <w:ind w:left="567"/>
        <w:jc w:val="left"/>
        <w:rPr>
          <w:i/>
          <w:iCs/>
        </w:rPr>
      </w:pPr>
      <w:bookmarkStart w:id="1" w:name="_Hlk213101634"/>
      <w:r w:rsidRPr="00F50E1F">
        <w:rPr>
          <w:rFonts w:hint="eastAsia"/>
          <w:i/>
          <w:iCs/>
        </w:rPr>
        <w:t xml:space="preserve">Existing </w:t>
      </w:r>
      <w:r w:rsidRPr="00F50E1F">
        <w:rPr>
          <w:i/>
          <w:iCs/>
        </w:rPr>
        <w:t>RRM measurement configuration and reporting framework in RRC layer is baseline for inference configuration and report.</w:t>
      </w:r>
      <w:bookmarkEnd w:id="1"/>
      <w:r w:rsidRPr="00F50E1F">
        <w:rPr>
          <w:rFonts w:hint="eastAsia"/>
          <w:i/>
          <w:iCs/>
        </w:rPr>
        <w:t xml:space="preserve"> When a full inference configuration is received, UE shall maintain it until it is released by network explicitly.</w:t>
      </w:r>
    </w:p>
    <w:p w14:paraId="0EC7B675" w14:textId="77777777" w:rsidR="00233BAA" w:rsidRPr="00F50E1F" w:rsidRDefault="00233BAA" w:rsidP="00C15AF1">
      <w:pPr>
        <w:ind w:left="567"/>
        <w:jc w:val="left"/>
        <w:rPr>
          <w:i/>
          <w:iCs/>
        </w:rPr>
      </w:pPr>
      <w:r w:rsidRPr="00F50E1F">
        <w:rPr>
          <w:rFonts w:hint="eastAsia"/>
          <w:i/>
          <w:iCs/>
        </w:rPr>
        <w:t xml:space="preserve">Following inference parameters can be configured to UE for </w:t>
      </w:r>
      <w:r w:rsidRPr="00F50E1F">
        <w:rPr>
          <w:i/>
          <w:iCs/>
        </w:rPr>
        <w:t>inference</w:t>
      </w:r>
      <w:r w:rsidRPr="00F50E1F">
        <w:rPr>
          <w:rFonts w:hint="eastAsia"/>
          <w:i/>
          <w:iCs/>
        </w:rPr>
        <w:t xml:space="preserve"> and assessing applicability:</w:t>
      </w:r>
    </w:p>
    <w:p w14:paraId="1EAF6F69" w14:textId="77777777" w:rsidR="00233BAA" w:rsidRPr="00F50E1F" w:rsidRDefault="00233BAA" w:rsidP="00C15AF1">
      <w:pPr>
        <w:pStyle w:val="B1"/>
        <w:ind w:left="1135"/>
        <w:rPr>
          <w:i/>
          <w:iCs/>
        </w:rPr>
      </w:pPr>
      <w:r w:rsidRPr="00F50E1F">
        <w:rPr>
          <w:i/>
          <w:iCs/>
        </w:rPr>
        <w:t>-</w:t>
      </w:r>
      <w:r w:rsidRPr="00F50E1F">
        <w:rPr>
          <w:i/>
          <w:iCs/>
        </w:rPr>
        <w:tab/>
      </w:r>
      <w:r w:rsidRPr="00F50E1F">
        <w:rPr>
          <w:rFonts w:hint="eastAsia"/>
          <w:i/>
          <w:iCs/>
        </w:rPr>
        <w:t xml:space="preserve">PW length for intra-frequency temporal domain case </w:t>
      </w:r>
      <w:proofErr w:type="gramStart"/>
      <w:r w:rsidRPr="00F50E1F">
        <w:rPr>
          <w:rFonts w:hint="eastAsia"/>
          <w:i/>
          <w:iCs/>
        </w:rPr>
        <w:t>A</w:t>
      </w:r>
      <w:r w:rsidRPr="00F50E1F">
        <w:rPr>
          <w:i/>
          <w:iCs/>
        </w:rPr>
        <w:t>;</w:t>
      </w:r>
      <w:proofErr w:type="gramEnd"/>
    </w:p>
    <w:p w14:paraId="4B51DEDE" w14:textId="77777777" w:rsidR="00233BAA" w:rsidRPr="00F50E1F" w:rsidRDefault="00233BAA" w:rsidP="00C15AF1">
      <w:pPr>
        <w:pStyle w:val="B1"/>
        <w:ind w:left="1135"/>
        <w:rPr>
          <w:i/>
          <w:iCs/>
        </w:rPr>
      </w:pPr>
      <w:r w:rsidRPr="00F50E1F">
        <w:rPr>
          <w:i/>
          <w:iCs/>
        </w:rPr>
        <w:t>-</w:t>
      </w:r>
      <w:r w:rsidRPr="00F50E1F">
        <w:rPr>
          <w:i/>
          <w:iCs/>
        </w:rPr>
        <w:tab/>
      </w:r>
      <w:bookmarkStart w:id="2" w:name="_Hlk213102205"/>
      <w:r w:rsidRPr="00F50E1F">
        <w:rPr>
          <w:rFonts w:hint="eastAsia"/>
          <w:i/>
          <w:iCs/>
        </w:rPr>
        <w:t xml:space="preserve">Measured frequency carrier and predicted frequency carrier information for inter-frequency </w:t>
      </w:r>
      <w:proofErr w:type="gramStart"/>
      <w:r w:rsidRPr="00F50E1F">
        <w:rPr>
          <w:rFonts w:hint="eastAsia"/>
          <w:i/>
          <w:iCs/>
        </w:rPr>
        <w:t>prediction</w:t>
      </w:r>
      <w:r w:rsidRPr="00F50E1F">
        <w:rPr>
          <w:i/>
          <w:iCs/>
        </w:rPr>
        <w:t>;</w:t>
      </w:r>
      <w:bookmarkEnd w:id="2"/>
      <w:proofErr w:type="gramEnd"/>
    </w:p>
    <w:p w14:paraId="1EDFCEAE" w14:textId="77777777" w:rsidR="00233BAA" w:rsidRPr="00F50E1F" w:rsidRDefault="00233BAA" w:rsidP="00C15AF1">
      <w:pPr>
        <w:pStyle w:val="B1"/>
        <w:ind w:left="1135"/>
        <w:rPr>
          <w:i/>
          <w:iCs/>
        </w:rPr>
      </w:pPr>
      <w:r w:rsidRPr="00F50E1F">
        <w:rPr>
          <w:i/>
          <w:iCs/>
        </w:rPr>
        <w:t>-</w:t>
      </w:r>
      <w:r w:rsidRPr="00F50E1F">
        <w:rPr>
          <w:i/>
          <w:iCs/>
        </w:rPr>
        <w:tab/>
      </w:r>
      <w:r w:rsidRPr="00F50E1F">
        <w:rPr>
          <w:rFonts w:hint="eastAsia"/>
          <w:i/>
          <w:iCs/>
        </w:rPr>
        <w:t xml:space="preserve">Parameter for intra-frequency temporal domain case B </w:t>
      </w:r>
      <w:r w:rsidRPr="00F50E1F">
        <w:rPr>
          <w:i/>
          <w:iCs/>
        </w:rPr>
        <w:t xml:space="preserve">to indicate the timing of </w:t>
      </w:r>
      <w:r w:rsidRPr="00F50E1F">
        <w:rPr>
          <w:rFonts w:hint="eastAsia"/>
          <w:i/>
          <w:iCs/>
        </w:rPr>
        <w:t>network</w:t>
      </w:r>
      <w:r w:rsidRPr="00F50E1F">
        <w:rPr>
          <w:i/>
          <w:iCs/>
        </w:rPr>
        <w:t xml:space="preserve">’s SSB </w:t>
      </w:r>
      <w:r w:rsidRPr="00F50E1F">
        <w:rPr>
          <w:rFonts w:hint="eastAsia"/>
          <w:i/>
          <w:iCs/>
        </w:rPr>
        <w:t xml:space="preserve">configuration (but not necessarily the </w:t>
      </w:r>
      <w:r w:rsidRPr="00F50E1F">
        <w:rPr>
          <w:i/>
          <w:iCs/>
        </w:rPr>
        <w:t xml:space="preserve">timing </w:t>
      </w:r>
      <w:r w:rsidRPr="00F50E1F">
        <w:rPr>
          <w:rFonts w:hint="eastAsia"/>
          <w:i/>
          <w:iCs/>
        </w:rPr>
        <w:t>for</w:t>
      </w:r>
      <w:r w:rsidRPr="00F50E1F">
        <w:rPr>
          <w:i/>
          <w:iCs/>
        </w:rPr>
        <w:t xml:space="preserve"> U</w:t>
      </w:r>
      <w:r w:rsidRPr="00F50E1F">
        <w:rPr>
          <w:rFonts w:hint="eastAsia"/>
          <w:i/>
          <w:iCs/>
        </w:rPr>
        <w:t>E to perform or skip measurement</w:t>
      </w:r>
      <w:proofErr w:type="gramStart"/>
      <w:r w:rsidRPr="00F50E1F">
        <w:rPr>
          <w:rFonts w:hint="eastAsia"/>
          <w:i/>
          <w:iCs/>
        </w:rPr>
        <w:t>)</w:t>
      </w:r>
      <w:r w:rsidRPr="00F50E1F">
        <w:rPr>
          <w:i/>
          <w:iCs/>
        </w:rPr>
        <w:t>;</w:t>
      </w:r>
      <w:proofErr w:type="gramEnd"/>
    </w:p>
    <w:p w14:paraId="0B08AF7F" w14:textId="77777777" w:rsidR="00233BAA" w:rsidRPr="00F50E1F" w:rsidRDefault="00233BAA" w:rsidP="00C15AF1">
      <w:pPr>
        <w:pStyle w:val="B1"/>
        <w:ind w:left="1135"/>
        <w:rPr>
          <w:i/>
          <w:iCs/>
        </w:rPr>
      </w:pPr>
      <w:r w:rsidRPr="00F50E1F">
        <w:rPr>
          <w:i/>
          <w:iCs/>
        </w:rPr>
        <w:t>-</w:t>
      </w:r>
      <w:r w:rsidRPr="00F50E1F">
        <w:rPr>
          <w:i/>
          <w:iCs/>
        </w:rPr>
        <w:tab/>
      </w:r>
      <w:r w:rsidRPr="00F50E1F">
        <w:rPr>
          <w:rFonts w:hint="eastAsia"/>
          <w:i/>
          <w:iCs/>
        </w:rPr>
        <w:t>Optional list of cells for intra-frequency temporal domain case A, for which network expects inference report (if available</w:t>
      </w:r>
      <w:proofErr w:type="gramStart"/>
      <w:r w:rsidRPr="00F50E1F">
        <w:rPr>
          <w:rFonts w:hint="eastAsia"/>
          <w:i/>
          <w:iCs/>
        </w:rPr>
        <w:t>)</w:t>
      </w:r>
      <w:r w:rsidRPr="00F50E1F">
        <w:rPr>
          <w:i/>
          <w:iCs/>
        </w:rPr>
        <w:t>;</w:t>
      </w:r>
      <w:proofErr w:type="gramEnd"/>
    </w:p>
    <w:p w14:paraId="67415D25" w14:textId="77777777" w:rsidR="00233BAA" w:rsidRPr="00F50E1F" w:rsidRDefault="00233BAA" w:rsidP="00C15AF1">
      <w:pPr>
        <w:pStyle w:val="B1"/>
        <w:ind w:left="1135"/>
        <w:rPr>
          <w:i/>
          <w:iCs/>
        </w:rPr>
      </w:pPr>
      <w:r w:rsidRPr="00F50E1F">
        <w:rPr>
          <w:i/>
          <w:iCs/>
        </w:rPr>
        <w:t>-</w:t>
      </w:r>
      <w:r w:rsidRPr="00F50E1F">
        <w:rPr>
          <w:i/>
          <w:iCs/>
        </w:rPr>
        <w:tab/>
      </w:r>
      <w:r w:rsidRPr="00F50E1F">
        <w:rPr>
          <w:rFonts w:hint="eastAsia"/>
          <w:i/>
          <w:iCs/>
          <w:highlight w:val="red"/>
        </w:rPr>
        <w:t xml:space="preserve">Optional Beam pattern e.g. to save SSB transmission for intra-frequency spatial domain </w:t>
      </w:r>
      <w:r w:rsidRPr="00F50E1F">
        <w:rPr>
          <w:i/>
          <w:iCs/>
          <w:highlight w:val="red"/>
        </w:rPr>
        <w:t>prediction.</w:t>
      </w:r>
    </w:p>
    <w:p w14:paraId="519F559E" w14:textId="77777777" w:rsidR="00233BAA" w:rsidRPr="00F50E1F" w:rsidRDefault="00233BAA" w:rsidP="00C15AF1">
      <w:pPr>
        <w:pStyle w:val="B1"/>
        <w:ind w:left="1135"/>
        <w:rPr>
          <w:i/>
          <w:iCs/>
        </w:rPr>
      </w:pPr>
      <w:r w:rsidRPr="00F50E1F">
        <w:rPr>
          <w:i/>
          <w:iCs/>
        </w:rPr>
        <w:t>-</w:t>
      </w:r>
      <w:r w:rsidRPr="00F50E1F">
        <w:rPr>
          <w:i/>
          <w:iCs/>
        </w:rPr>
        <w:tab/>
      </w:r>
      <w:r w:rsidRPr="00F50E1F">
        <w:rPr>
          <w:rFonts w:hint="eastAsia"/>
          <w:i/>
          <w:iCs/>
        </w:rPr>
        <w:t>Optional associated ID</w:t>
      </w:r>
      <w:r w:rsidRPr="00F50E1F">
        <w:rPr>
          <w:i/>
          <w:iCs/>
        </w:rPr>
        <w:t>.</w:t>
      </w:r>
    </w:p>
    <w:p w14:paraId="68A46DEE" w14:textId="77777777" w:rsidR="00233BAA" w:rsidRPr="00F50E1F" w:rsidRDefault="00233BAA" w:rsidP="00C15AF1">
      <w:pPr>
        <w:ind w:left="567"/>
        <w:jc w:val="left"/>
        <w:rPr>
          <w:i/>
          <w:iCs/>
        </w:rPr>
      </w:pPr>
      <w:r w:rsidRPr="00F50E1F">
        <w:rPr>
          <w:rFonts w:hint="eastAsia"/>
          <w:i/>
          <w:iCs/>
        </w:rPr>
        <w:t>It is up to UE</w:t>
      </w:r>
      <w:r w:rsidRPr="00F50E1F">
        <w:rPr>
          <w:i/>
          <w:iCs/>
        </w:rPr>
        <w:t>’</w:t>
      </w:r>
      <w:r w:rsidRPr="00F50E1F">
        <w:rPr>
          <w:rFonts w:hint="eastAsia"/>
          <w:i/>
          <w:iCs/>
        </w:rPr>
        <w:t>s implementation to decide on model</w:t>
      </w:r>
      <w:r w:rsidRPr="00F50E1F">
        <w:rPr>
          <w:i/>
          <w:iCs/>
        </w:rPr>
        <w:t>-</w:t>
      </w:r>
      <w:r w:rsidRPr="00F50E1F">
        <w:rPr>
          <w:rFonts w:hint="eastAsia"/>
          <w:i/>
          <w:iCs/>
        </w:rPr>
        <w:t xml:space="preserve">related choices including cluster-based vs single-cell-based approach, RRM sub-use cases and OW </w:t>
      </w:r>
      <w:r w:rsidRPr="00F50E1F">
        <w:rPr>
          <w:i/>
          <w:iCs/>
        </w:rPr>
        <w:t>length</w:t>
      </w:r>
      <w:r w:rsidRPr="00F50E1F">
        <w:rPr>
          <w:rFonts w:hint="eastAsia"/>
          <w:i/>
          <w:iCs/>
        </w:rPr>
        <w:t>.</w:t>
      </w:r>
    </w:p>
    <w:p w14:paraId="071A3402" w14:textId="77777777" w:rsidR="00233BAA" w:rsidRPr="00F50E1F" w:rsidRDefault="00233BAA" w:rsidP="00C15AF1">
      <w:pPr>
        <w:pStyle w:val="NO"/>
        <w:ind w:left="1702"/>
        <w:rPr>
          <w:i/>
          <w:iCs/>
        </w:rPr>
      </w:pPr>
      <w:r w:rsidRPr="00F50E1F">
        <w:rPr>
          <w:rFonts w:hint="eastAsia"/>
          <w:i/>
          <w:iCs/>
        </w:rPr>
        <w:t>NOTE 1:</w:t>
      </w:r>
      <w:r w:rsidRPr="00F50E1F">
        <w:rPr>
          <w:i/>
          <w:iCs/>
        </w:rPr>
        <w:tab/>
      </w:r>
      <w:r w:rsidRPr="00F50E1F">
        <w:rPr>
          <w:rFonts w:hint="eastAsia"/>
          <w:i/>
          <w:iCs/>
        </w:rPr>
        <w:t>MRRT or MRRS can be considered if it is required for defining performance requirement in RAN4</w:t>
      </w:r>
    </w:p>
    <w:p w14:paraId="1349DD76" w14:textId="77777777" w:rsidR="00233BAA" w:rsidRPr="00F50E1F" w:rsidRDefault="00233BAA" w:rsidP="00C15AF1">
      <w:pPr>
        <w:pStyle w:val="NO"/>
        <w:ind w:left="1702"/>
        <w:rPr>
          <w:i/>
          <w:iCs/>
        </w:rPr>
      </w:pPr>
      <w:r w:rsidRPr="00F50E1F">
        <w:rPr>
          <w:rFonts w:hint="eastAsia"/>
          <w:i/>
          <w:iCs/>
        </w:rPr>
        <w:t>NOTE 2:</w:t>
      </w:r>
      <w:r w:rsidRPr="00F50E1F">
        <w:rPr>
          <w:i/>
          <w:iCs/>
        </w:rPr>
        <w:tab/>
      </w:r>
      <w:r w:rsidRPr="00F50E1F">
        <w:rPr>
          <w:rFonts w:hint="eastAsia"/>
          <w:i/>
          <w:iCs/>
        </w:rPr>
        <w:t xml:space="preserve">The detail (e.g. which use case(s)) of </w:t>
      </w:r>
      <w:r w:rsidRPr="00F50E1F">
        <w:rPr>
          <w:i/>
          <w:iCs/>
        </w:rPr>
        <w:t>associated</w:t>
      </w:r>
      <w:r w:rsidRPr="00F50E1F">
        <w:rPr>
          <w:rFonts w:hint="eastAsia"/>
          <w:i/>
          <w:iCs/>
        </w:rPr>
        <w:t xml:space="preserve"> ID will be decided during WI phase</w:t>
      </w:r>
    </w:p>
    <w:p w14:paraId="13C1BC34" w14:textId="77777777" w:rsidR="00233BAA" w:rsidRPr="00F50E1F" w:rsidRDefault="00233BAA" w:rsidP="00C15AF1">
      <w:pPr>
        <w:ind w:left="567"/>
        <w:jc w:val="left"/>
        <w:rPr>
          <w:i/>
          <w:iCs/>
        </w:rPr>
      </w:pPr>
      <w:r w:rsidRPr="00F50E1F">
        <w:rPr>
          <w:rFonts w:hint="eastAsia"/>
          <w:i/>
          <w:iCs/>
        </w:rPr>
        <w:t xml:space="preserve">UE can be configured with periodic or event triggered reporting of predicted and/or actual measurement result(s). For each reported cell in the </w:t>
      </w:r>
      <w:proofErr w:type="spellStart"/>
      <w:r w:rsidRPr="00F50E1F">
        <w:rPr>
          <w:rFonts w:hint="eastAsia"/>
          <w:i/>
          <w:iCs/>
        </w:rPr>
        <w:t>measurementReport</w:t>
      </w:r>
      <w:proofErr w:type="spellEnd"/>
      <w:r w:rsidRPr="00F50E1F">
        <w:rPr>
          <w:rFonts w:hint="eastAsia"/>
          <w:i/>
          <w:iCs/>
        </w:rPr>
        <w:t xml:space="preserve"> message:</w:t>
      </w:r>
    </w:p>
    <w:p w14:paraId="0A5DE38C" w14:textId="77777777" w:rsidR="00233BAA" w:rsidRPr="00F50E1F" w:rsidRDefault="00233BAA" w:rsidP="00C15AF1">
      <w:pPr>
        <w:pStyle w:val="B1"/>
        <w:ind w:left="1135"/>
        <w:rPr>
          <w:i/>
          <w:iCs/>
        </w:rPr>
      </w:pPr>
      <w:r w:rsidRPr="00F50E1F">
        <w:rPr>
          <w:i/>
          <w:iCs/>
        </w:rPr>
        <w:t>-</w:t>
      </w:r>
      <w:r w:rsidRPr="00F50E1F">
        <w:rPr>
          <w:i/>
          <w:iCs/>
        </w:rPr>
        <w:tab/>
        <w:t xml:space="preserve">For intra-frequency temporal domain case A, one or more instances of predicted measurement result(s) in PW can be </w:t>
      </w:r>
      <w:proofErr w:type="gramStart"/>
      <w:r w:rsidRPr="00F50E1F">
        <w:rPr>
          <w:i/>
          <w:iCs/>
        </w:rPr>
        <w:t>reported;</w:t>
      </w:r>
      <w:proofErr w:type="gramEnd"/>
    </w:p>
    <w:p w14:paraId="4EEF1E5E" w14:textId="77777777" w:rsidR="00233BAA" w:rsidRPr="00F50E1F" w:rsidRDefault="00233BAA" w:rsidP="00C15AF1">
      <w:pPr>
        <w:pStyle w:val="B1"/>
        <w:ind w:left="1135"/>
        <w:rPr>
          <w:i/>
          <w:iCs/>
        </w:rPr>
      </w:pPr>
      <w:r w:rsidRPr="00F50E1F">
        <w:rPr>
          <w:i/>
          <w:iCs/>
        </w:rPr>
        <w:t>-</w:t>
      </w:r>
      <w:r w:rsidRPr="00F50E1F">
        <w:rPr>
          <w:i/>
          <w:iCs/>
        </w:rPr>
        <w:tab/>
        <w:t xml:space="preserve">For intra-frequency temporal domain case B, the latest actual or predicted measurement result can be </w:t>
      </w:r>
      <w:proofErr w:type="gramStart"/>
      <w:r w:rsidRPr="00F50E1F">
        <w:rPr>
          <w:i/>
          <w:iCs/>
        </w:rPr>
        <w:t>reported;</w:t>
      </w:r>
      <w:proofErr w:type="gramEnd"/>
    </w:p>
    <w:p w14:paraId="466CD1F1" w14:textId="77777777" w:rsidR="00233BAA" w:rsidRPr="00F50E1F" w:rsidRDefault="00233BAA" w:rsidP="00C15AF1">
      <w:pPr>
        <w:pStyle w:val="B1"/>
        <w:ind w:left="1135"/>
        <w:rPr>
          <w:i/>
          <w:iCs/>
        </w:rPr>
      </w:pPr>
      <w:r w:rsidRPr="00F50E1F">
        <w:rPr>
          <w:i/>
          <w:iCs/>
        </w:rPr>
        <w:t>-</w:t>
      </w:r>
      <w:r w:rsidRPr="00F50E1F">
        <w:rPr>
          <w:i/>
          <w:iCs/>
        </w:rPr>
        <w:tab/>
      </w:r>
      <w:r w:rsidRPr="00F50E1F">
        <w:rPr>
          <w:rFonts w:hint="eastAsia"/>
          <w:i/>
          <w:iCs/>
        </w:rPr>
        <w:t xml:space="preserve">For inter-frequency prediction, the latest </w:t>
      </w:r>
      <w:r w:rsidRPr="00F50E1F">
        <w:rPr>
          <w:i/>
          <w:iCs/>
        </w:rPr>
        <w:t xml:space="preserve">predicted </w:t>
      </w:r>
      <w:r w:rsidRPr="00F50E1F">
        <w:rPr>
          <w:rFonts w:hint="eastAsia"/>
          <w:i/>
          <w:iCs/>
        </w:rPr>
        <w:t>measurement result is reported.</w:t>
      </w:r>
    </w:p>
    <w:p w14:paraId="57BEE391" w14:textId="4CE66A9B" w:rsidR="00233BAA" w:rsidRDefault="00233BAA" w:rsidP="00C15AF1">
      <w:pPr>
        <w:jc w:val="left"/>
      </w:pPr>
      <w:r w:rsidRPr="00F50E1F">
        <w:t xml:space="preserve">In our understanding, all the above can already be confirmed by RAN2 except for the highlighted part (as spatial domain prediction is not within the scope of the </w:t>
      </w:r>
      <w:r w:rsidR="00133A8D">
        <w:t>R</w:t>
      </w:r>
      <w:r w:rsidRPr="00F50E1F">
        <w:t xml:space="preserve">el-20 WID). </w:t>
      </w:r>
    </w:p>
    <w:p w14:paraId="790AAB5B" w14:textId="77777777" w:rsidR="00AC470B" w:rsidRPr="00F50E1F" w:rsidRDefault="00AC470B" w:rsidP="00C15AF1">
      <w:pPr>
        <w:jc w:val="left"/>
      </w:pPr>
    </w:p>
    <w:p w14:paraId="512D036C" w14:textId="67C68527" w:rsidR="00233BAA" w:rsidRPr="00F50E1F" w:rsidRDefault="00233BAA" w:rsidP="00C15AF1">
      <w:pPr>
        <w:tabs>
          <w:tab w:val="left" w:pos="1377"/>
        </w:tabs>
        <w:ind w:left="1354" w:hanging="1354"/>
        <w:jc w:val="left"/>
        <w:rPr>
          <w:rFonts w:cs="Arial"/>
          <w:bCs/>
          <w:i/>
          <w:iCs/>
        </w:rPr>
      </w:pPr>
      <w:r w:rsidRPr="009E6FDB">
        <w:rPr>
          <w:rFonts w:cs="Arial"/>
          <w:b/>
          <w:u w:val="single"/>
        </w:rPr>
        <w:lastRenderedPageBreak/>
        <w:t xml:space="preserve">Observation </w:t>
      </w:r>
      <w:r w:rsidR="00841460" w:rsidRPr="009E6FDB">
        <w:rPr>
          <w:rFonts w:cs="Arial"/>
          <w:b/>
          <w:u w:val="single"/>
        </w:rPr>
        <w:t>5</w:t>
      </w:r>
      <w:r w:rsidRPr="009E6FDB">
        <w:rPr>
          <w:rFonts w:cs="Arial"/>
          <w:b/>
          <w:u w:val="single"/>
        </w:rPr>
        <w:t>:</w:t>
      </w:r>
      <w:r w:rsidRPr="00F50E1F">
        <w:rPr>
          <w:rFonts w:cs="Arial"/>
          <w:bCs/>
          <w:i/>
          <w:iCs/>
        </w:rPr>
        <w:t xml:space="preserve"> Except for aspects like spatial prediction that are not within the scope of the </w:t>
      </w:r>
      <w:r w:rsidR="00133A8D">
        <w:rPr>
          <w:rFonts w:cs="Arial"/>
          <w:bCs/>
          <w:i/>
          <w:iCs/>
        </w:rPr>
        <w:t>R</w:t>
      </w:r>
      <w:r w:rsidRPr="00F50E1F">
        <w:rPr>
          <w:rFonts w:cs="Arial"/>
          <w:bCs/>
          <w:i/>
          <w:iCs/>
        </w:rPr>
        <w:t xml:space="preserve">el-20 WID, most of the agreements that are captured in TR 38.744 for inference configuration/reporting of RRM measurement prediction can already be confirmed in RAN2. </w:t>
      </w:r>
    </w:p>
    <w:p w14:paraId="631D1E1F" w14:textId="77777777" w:rsidR="00AC470B" w:rsidRDefault="00AC470B" w:rsidP="00C15AF1">
      <w:pPr>
        <w:jc w:val="left"/>
      </w:pPr>
    </w:p>
    <w:p w14:paraId="46E92698" w14:textId="295CAB1C" w:rsidR="00233BAA" w:rsidRPr="00F50E1F" w:rsidRDefault="00233BAA" w:rsidP="00C15AF1">
      <w:pPr>
        <w:jc w:val="left"/>
      </w:pPr>
      <w:r w:rsidRPr="00F50E1F">
        <w:t>Thus, we propose:</w:t>
      </w:r>
    </w:p>
    <w:p w14:paraId="59639F7B" w14:textId="77777777" w:rsidR="00AC470B" w:rsidRDefault="00AC470B" w:rsidP="00C15AF1">
      <w:pPr>
        <w:tabs>
          <w:tab w:val="left" w:pos="1377"/>
        </w:tabs>
        <w:ind w:left="1170" w:hanging="1170"/>
        <w:jc w:val="left"/>
        <w:rPr>
          <w:rFonts w:cs="Arial"/>
          <w:b/>
          <w:u w:val="single"/>
        </w:rPr>
      </w:pPr>
    </w:p>
    <w:p w14:paraId="66A7BF47" w14:textId="7B8A15C7" w:rsidR="00233BAA" w:rsidRDefault="00C537AD" w:rsidP="00C15AF1">
      <w:pPr>
        <w:tabs>
          <w:tab w:val="left" w:pos="1377"/>
        </w:tabs>
        <w:ind w:left="1170" w:hanging="1170"/>
        <w:jc w:val="left"/>
        <w:rPr>
          <w:rFonts w:cs="Arial"/>
          <w:b/>
          <w:i/>
          <w:iCs/>
        </w:rPr>
      </w:pPr>
      <w:r w:rsidRPr="000932A1">
        <w:rPr>
          <w:rFonts w:cs="Arial"/>
          <w:b/>
          <w:u w:val="single"/>
        </w:rPr>
        <w:t xml:space="preserve">Proposal </w:t>
      </w:r>
      <w:r>
        <w:rPr>
          <w:rFonts w:cs="Arial"/>
          <w:b/>
          <w:u w:val="single"/>
        </w:rPr>
        <w:t>5</w:t>
      </w:r>
      <w:r w:rsidRPr="000932A1">
        <w:rPr>
          <w:rFonts w:cs="Arial"/>
          <w:b/>
          <w:u w:val="single"/>
        </w:rPr>
        <w:t>:</w:t>
      </w:r>
      <w:r w:rsidRPr="00F50E1F">
        <w:rPr>
          <w:rFonts w:cs="Arial"/>
          <w:b/>
        </w:rPr>
        <w:t xml:space="preserve"> </w:t>
      </w:r>
      <w:r w:rsidR="00233BAA" w:rsidRPr="00F50E1F">
        <w:rPr>
          <w:rFonts w:cs="Arial"/>
          <w:b/>
          <w:i/>
          <w:iCs/>
        </w:rPr>
        <w:t xml:space="preserve">RAN2 to confirm that the RRM measurement configuration and reporting framework in RRC layer is the baseline for inference configuration and reporting for all sub use cases of RRM measurement prediction. </w:t>
      </w:r>
    </w:p>
    <w:p w14:paraId="3F6A6409" w14:textId="77777777" w:rsidR="00AC470B" w:rsidRPr="00F50E1F" w:rsidRDefault="00AC470B" w:rsidP="00C15AF1">
      <w:pPr>
        <w:tabs>
          <w:tab w:val="left" w:pos="1377"/>
        </w:tabs>
        <w:ind w:left="1170" w:hanging="1170"/>
        <w:jc w:val="left"/>
        <w:rPr>
          <w:rFonts w:cs="Arial"/>
          <w:b/>
          <w:i/>
          <w:iCs/>
        </w:rPr>
      </w:pPr>
    </w:p>
    <w:p w14:paraId="4C61F59D" w14:textId="1CCF8046" w:rsidR="00233BAA" w:rsidRPr="00F50E1F" w:rsidRDefault="00C537AD" w:rsidP="00C15AF1">
      <w:pPr>
        <w:tabs>
          <w:tab w:val="left" w:pos="1377"/>
        </w:tabs>
        <w:ind w:left="1170" w:hanging="1170"/>
        <w:jc w:val="left"/>
        <w:rPr>
          <w:rFonts w:cs="Arial"/>
          <w:b/>
          <w:i/>
          <w:iCs/>
        </w:rPr>
      </w:pPr>
      <w:r w:rsidRPr="000932A1">
        <w:rPr>
          <w:rFonts w:cs="Arial"/>
          <w:b/>
          <w:u w:val="single"/>
        </w:rPr>
        <w:t xml:space="preserve">Proposal </w:t>
      </w:r>
      <w:r>
        <w:rPr>
          <w:rFonts w:cs="Arial"/>
          <w:b/>
          <w:u w:val="single"/>
        </w:rPr>
        <w:t>6</w:t>
      </w:r>
      <w:r w:rsidRPr="000932A1">
        <w:rPr>
          <w:rFonts w:cs="Arial"/>
          <w:b/>
          <w:u w:val="single"/>
        </w:rPr>
        <w:t>:</w:t>
      </w:r>
      <w:r w:rsidRPr="00F50E1F">
        <w:rPr>
          <w:rFonts w:cs="Arial"/>
          <w:b/>
        </w:rPr>
        <w:t xml:space="preserve"> </w:t>
      </w:r>
      <w:r w:rsidR="00233BAA" w:rsidRPr="00F50E1F">
        <w:rPr>
          <w:rFonts w:cs="Arial"/>
          <w:b/>
          <w:i/>
          <w:iCs/>
        </w:rPr>
        <w:t xml:space="preserve">RAN2 to confirm that the UE can be configured with the following regarding RRM measurement </w:t>
      </w:r>
      <w:r w:rsidR="00AB46D1">
        <w:rPr>
          <w:rFonts w:cs="Arial"/>
          <w:b/>
          <w:i/>
          <w:iCs/>
        </w:rPr>
        <w:t>prediction</w:t>
      </w:r>
      <w:r w:rsidR="004C5CD0">
        <w:rPr>
          <w:rFonts w:cs="Arial"/>
          <w:b/>
          <w:i/>
          <w:iCs/>
        </w:rPr>
        <w:t>/reporting</w:t>
      </w:r>
      <w:r w:rsidR="00E51C13">
        <w:rPr>
          <w:rFonts w:cs="Arial"/>
          <w:b/>
          <w:i/>
          <w:iCs/>
        </w:rPr>
        <w:t xml:space="preserve"> </w:t>
      </w:r>
      <w:r w:rsidR="00233BAA" w:rsidRPr="00F50E1F">
        <w:rPr>
          <w:rFonts w:cs="Arial"/>
          <w:b/>
          <w:i/>
          <w:iCs/>
        </w:rPr>
        <w:t>for temporal case A:</w:t>
      </w:r>
    </w:p>
    <w:p w14:paraId="6518544F" w14:textId="77777777" w:rsidR="00233BAA" w:rsidRPr="00F50E1F" w:rsidRDefault="00233BAA" w:rsidP="00C15AF1">
      <w:pPr>
        <w:pStyle w:val="ListParagraph"/>
        <w:numPr>
          <w:ilvl w:val="0"/>
          <w:numId w:val="41"/>
        </w:numPr>
        <w:tabs>
          <w:tab w:val="left" w:pos="1377"/>
        </w:tabs>
        <w:overflowPunct w:val="0"/>
        <w:autoSpaceDE w:val="0"/>
        <w:autoSpaceDN w:val="0"/>
        <w:adjustRightInd w:val="0"/>
        <w:spacing w:after="120"/>
        <w:textAlignment w:val="baseline"/>
        <w:rPr>
          <w:rFonts w:cs="Arial"/>
          <w:b/>
          <w:i/>
          <w:iCs/>
          <w:lang w:val="en-GB"/>
        </w:rPr>
      </w:pPr>
      <w:r w:rsidRPr="00F50E1F">
        <w:rPr>
          <w:rFonts w:cs="Arial"/>
          <w:b/>
          <w:i/>
          <w:iCs/>
          <w:lang w:val="en-GB"/>
        </w:rPr>
        <w:t>Prediction window length</w:t>
      </w:r>
    </w:p>
    <w:p w14:paraId="71675774" w14:textId="77777777" w:rsidR="00233BAA" w:rsidRDefault="00233BAA" w:rsidP="00C15AF1">
      <w:pPr>
        <w:pStyle w:val="ListParagraph"/>
        <w:numPr>
          <w:ilvl w:val="0"/>
          <w:numId w:val="41"/>
        </w:numPr>
        <w:tabs>
          <w:tab w:val="left" w:pos="1377"/>
        </w:tabs>
        <w:overflowPunct w:val="0"/>
        <w:autoSpaceDE w:val="0"/>
        <w:autoSpaceDN w:val="0"/>
        <w:adjustRightInd w:val="0"/>
        <w:spacing w:after="120"/>
        <w:textAlignment w:val="baseline"/>
        <w:rPr>
          <w:rFonts w:cs="Arial"/>
          <w:b/>
          <w:i/>
          <w:iCs/>
          <w:lang w:val="en-GB"/>
        </w:rPr>
      </w:pPr>
      <w:r w:rsidRPr="00F50E1F">
        <w:rPr>
          <w:rFonts w:cs="Arial"/>
          <w:b/>
          <w:i/>
          <w:iCs/>
          <w:lang w:val="en-GB"/>
        </w:rPr>
        <w:t>(optional) list of cells for which network expects inference report and their corresponding associated IDs</w:t>
      </w:r>
    </w:p>
    <w:p w14:paraId="7D44CD8C" w14:textId="77777777" w:rsidR="00AC470B" w:rsidRPr="00F50E1F" w:rsidRDefault="00AC470B" w:rsidP="00C15AF1">
      <w:pPr>
        <w:pStyle w:val="ListParagraph"/>
        <w:tabs>
          <w:tab w:val="left" w:pos="1377"/>
        </w:tabs>
        <w:overflowPunct w:val="0"/>
        <w:autoSpaceDE w:val="0"/>
        <w:autoSpaceDN w:val="0"/>
        <w:adjustRightInd w:val="0"/>
        <w:spacing w:after="120"/>
        <w:ind w:left="1080"/>
        <w:textAlignment w:val="baseline"/>
        <w:rPr>
          <w:rFonts w:cs="Arial"/>
          <w:b/>
          <w:i/>
          <w:iCs/>
          <w:lang w:val="en-GB"/>
        </w:rPr>
      </w:pPr>
    </w:p>
    <w:p w14:paraId="32C97047" w14:textId="5BDF0307" w:rsidR="00233BAA" w:rsidRPr="00F50E1F" w:rsidRDefault="00865B21" w:rsidP="00C15AF1">
      <w:pPr>
        <w:tabs>
          <w:tab w:val="left" w:pos="1377"/>
        </w:tabs>
        <w:ind w:left="1170" w:hanging="1170"/>
        <w:jc w:val="left"/>
        <w:rPr>
          <w:rFonts w:cs="Arial"/>
          <w:b/>
          <w:i/>
          <w:iCs/>
        </w:rPr>
      </w:pPr>
      <w:r w:rsidRPr="000932A1">
        <w:rPr>
          <w:rFonts w:cs="Arial"/>
          <w:b/>
          <w:u w:val="single"/>
        </w:rPr>
        <w:t xml:space="preserve">Proposal </w:t>
      </w:r>
      <w:r>
        <w:rPr>
          <w:rFonts w:cs="Arial"/>
          <w:b/>
          <w:u w:val="single"/>
        </w:rPr>
        <w:t>7</w:t>
      </w:r>
      <w:r w:rsidRPr="000932A1">
        <w:rPr>
          <w:rFonts w:cs="Arial"/>
          <w:b/>
          <w:u w:val="single"/>
        </w:rPr>
        <w:t>:</w:t>
      </w:r>
      <w:r w:rsidRPr="00F50E1F">
        <w:rPr>
          <w:rFonts w:cs="Arial"/>
          <w:b/>
        </w:rPr>
        <w:t xml:space="preserve"> </w:t>
      </w:r>
      <w:r w:rsidR="00233BAA" w:rsidRPr="00F50E1F">
        <w:rPr>
          <w:rFonts w:cs="Arial"/>
          <w:b/>
          <w:i/>
          <w:iCs/>
        </w:rPr>
        <w:t xml:space="preserve">RAN2 to confirm that the UE can be configured with the following regarding RRM measurement </w:t>
      </w:r>
      <w:r w:rsidR="004C5CD0">
        <w:rPr>
          <w:rFonts w:cs="Arial"/>
          <w:b/>
          <w:i/>
          <w:iCs/>
        </w:rPr>
        <w:t>prediction</w:t>
      </w:r>
      <w:r w:rsidR="00233BAA" w:rsidRPr="00F50E1F">
        <w:rPr>
          <w:rFonts w:cs="Arial"/>
          <w:b/>
          <w:i/>
          <w:iCs/>
        </w:rPr>
        <w:t>/reporting for temporal case B:</w:t>
      </w:r>
    </w:p>
    <w:p w14:paraId="74E510C8" w14:textId="77777777" w:rsidR="00233BAA" w:rsidRPr="00F50E1F" w:rsidRDefault="00233BAA" w:rsidP="00C15AF1">
      <w:pPr>
        <w:pStyle w:val="ListParagraph"/>
        <w:numPr>
          <w:ilvl w:val="0"/>
          <w:numId w:val="41"/>
        </w:numPr>
        <w:tabs>
          <w:tab w:val="left" w:pos="1377"/>
        </w:tabs>
        <w:overflowPunct w:val="0"/>
        <w:autoSpaceDE w:val="0"/>
        <w:autoSpaceDN w:val="0"/>
        <w:adjustRightInd w:val="0"/>
        <w:spacing w:after="120"/>
        <w:textAlignment w:val="baseline"/>
        <w:rPr>
          <w:rFonts w:cs="Arial"/>
          <w:b/>
          <w:bCs/>
          <w:i/>
          <w:iCs/>
          <w:lang w:val="en-GB"/>
        </w:rPr>
      </w:pPr>
      <w:r w:rsidRPr="00F50E1F">
        <w:rPr>
          <w:b/>
          <w:bCs/>
          <w:i/>
          <w:iCs/>
          <w:lang w:val="en-GB"/>
        </w:rPr>
        <w:t xml:space="preserve">the timing of </w:t>
      </w:r>
      <w:r w:rsidRPr="00F50E1F">
        <w:rPr>
          <w:rFonts w:hint="eastAsia"/>
          <w:b/>
          <w:bCs/>
          <w:i/>
          <w:iCs/>
          <w:lang w:val="en-GB"/>
        </w:rPr>
        <w:t>network</w:t>
      </w:r>
      <w:r w:rsidRPr="00F50E1F">
        <w:rPr>
          <w:b/>
          <w:bCs/>
          <w:i/>
          <w:iCs/>
          <w:lang w:val="en-GB"/>
        </w:rPr>
        <w:t xml:space="preserve">’s SSB </w:t>
      </w:r>
      <w:r w:rsidRPr="00F50E1F">
        <w:rPr>
          <w:rFonts w:hint="eastAsia"/>
          <w:b/>
          <w:bCs/>
          <w:i/>
          <w:iCs/>
          <w:lang w:val="en-GB"/>
        </w:rPr>
        <w:t>configuration</w:t>
      </w:r>
    </w:p>
    <w:p w14:paraId="12C1C351" w14:textId="77777777" w:rsidR="00233BAA" w:rsidRDefault="00233BAA" w:rsidP="00C15AF1">
      <w:pPr>
        <w:pStyle w:val="ListParagraph"/>
        <w:numPr>
          <w:ilvl w:val="0"/>
          <w:numId w:val="41"/>
        </w:numPr>
        <w:tabs>
          <w:tab w:val="left" w:pos="1377"/>
        </w:tabs>
        <w:overflowPunct w:val="0"/>
        <w:autoSpaceDE w:val="0"/>
        <w:autoSpaceDN w:val="0"/>
        <w:adjustRightInd w:val="0"/>
        <w:spacing w:after="120"/>
        <w:textAlignment w:val="baseline"/>
        <w:rPr>
          <w:rFonts w:cs="Arial"/>
          <w:b/>
          <w:i/>
          <w:iCs/>
          <w:lang w:val="en-GB"/>
        </w:rPr>
      </w:pPr>
      <w:r w:rsidRPr="00F50E1F">
        <w:rPr>
          <w:rFonts w:cs="Arial"/>
          <w:b/>
          <w:i/>
          <w:iCs/>
          <w:lang w:val="en-GB"/>
        </w:rPr>
        <w:t>(optional) list of cells for which network expects inference report and their corresponding associated IDs</w:t>
      </w:r>
    </w:p>
    <w:p w14:paraId="1A88E141" w14:textId="77777777" w:rsidR="00AC470B" w:rsidRPr="00F50E1F" w:rsidRDefault="00AC470B" w:rsidP="00C15AF1">
      <w:pPr>
        <w:pStyle w:val="ListParagraph"/>
        <w:tabs>
          <w:tab w:val="left" w:pos="1377"/>
        </w:tabs>
        <w:overflowPunct w:val="0"/>
        <w:autoSpaceDE w:val="0"/>
        <w:autoSpaceDN w:val="0"/>
        <w:adjustRightInd w:val="0"/>
        <w:spacing w:after="120"/>
        <w:ind w:left="1080"/>
        <w:textAlignment w:val="baseline"/>
        <w:rPr>
          <w:rFonts w:cs="Arial"/>
          <w:b/>
          <w:i/>
          <w:iCs/>
          <w:lang w:val="en-GB"/>
        </w:rPr>
      </w:pPr>
    </w:p>
    <w:p w14:paraId="2E6EBB3D" w14:textId="0DBE696B" w:rsidR="00233BAA" w:rsidRPr="00F50E1F" w:rsidRDefault="00865B21" w:rsidP="00C15AF1">
      <w:pPr>
        <w:tabs>
          <w:tab w:val="left" w:pos="1377"/>
        </w:tabs>
        <w:ind w:left="1170" w:hanging="1170"/>
        <w:jc w:val="left"/>
        <w:rPr>
          <w:rFonts w:cs="Arial"/>
          <w:b/>
          <w:i/>
          <w:iCs/>
        </w:rPr>
      </w:pPr>
      <w:r w:rsidRPr="000932A1">
        <w:rPr>
          <w:rFonts w:cs="Arial"/>
          <w:b/>
          <w:u w:val="single"/>
        </w:rPr>
        <w:t xml:space="preserve">Proposal </w:t>
      </w:r>
      <w:r>
        <w:rPr>
          <w:rFonts w:cs="Arial"/>
          <w:b/>
          <w:u w:val="single"/>
        </w:rPr>
        <w:t>8</w:t>
      </w:r>
      <w:r w:rsidRPr="000932A1">
        <w:rPr>
          <w:rFonts w:cs="Arial"/>
          <w:b/>
          <w:u w:val="single"/>
        </w:rPr>
        <w:t>:</w:t>
      </w:r>
      <w:r w:rsidRPr="00F50E1F">
        <w:rPr>
          <w:rFonts w:cs="Arial"/>
          <w:b/>
        </w:rPr>
        <w:t xml:space="preserve"> </w:t>
      </w:r>
      <w:r w:rsidR="00233BAA" w:rsidRPr="00F50E1F">
        <w:rPr>
          <w:rFonts w:cs="Arial"/>
          <w:b/>
          <w:i/>
          <w:iCs/>
        </w:rPr>
        <w:t xml:space="preserve">RAN2 to confirm that the UE can be configured with the following regarding RRM measurement </w:t>
      </w:r>
      <w:r w:rsidR="00661255">
        <w:rPr>
          <w:rFonts w:cs="Arial"/>
          <w:b/>
          <w:i/>
          <w:iCs/>
        </w:rPr>
        <w:t>prediction</w:t>
      </w:r>
      <w:r w:rsidR="00233BAA" w:rsidRPr="00F50E1F">
        <w:rPr>
          <w:rFonts w:cs="Arial"/>
          <w:b/>
          <w:i/>
          <w:iCs/>
        </w:rPr>
        <w:t>/reporting for inter-frequency prediction:</w:t>
      </w:r>
    </w:p>
    <w:p w14:paraId="6911F191" w14:textId="70F711B8" w:rsidR="00233BAA" w:rsidRPr="00F50E1F" w:rsidRDefault="00233BAA" w:rsidP="00C15AF1">
      <w:pPr>
        <w:pStyle w:val="ListParagraph"/>
        <w:numPr>
          <w:ilvl w:val="0"/>
          <w:numId w:val="41"/>
        </w:numPr>
        <w:tabs>
          <w:tab w:val="left" w:pos="1377"/>
        </w:tabs>
        <w:overflowPunct w:val="0"/>
        <w:autoSpaceDE w:val="0"/>
        <w:autoSpaceDN w:val="0"/>
        <w:adjustRightInd w:val="0"/>
        <w:spacing w:after="120"/>
        <w:textAlignment w:val="baseline"/>
        <w:rPr>
          <w:rFonts w:cs="Arial"/>
          <w:b/>
          <w:i/>
          <w:iCs/>
          <w:lang w:val="en-GB"/>
        </w:rPr>
      </w:pPr>
      <w:r w:rsidRPr="00F50E1F">
        <w:rPr>
          <w:rFonts w:cs="Arial"/>
          <w:b/>
          <w:i/>
          <w:iCs/>
          <w:lang w:val="en-GB"/>
        </w:rPr>
        <w:t>Measured frequency carrier and predicted frequency carrier information for inter-frequency prediction</w:t>
      </w:r>
    </w:p>
    <w:p w14:paraId="706D42C8" w14:textId="77777777" w:rsidR="00233BAA" w:rsidRPr="00F50E1F" w:rsidRDefault="00233BAA" w:rsidP="00C15AF1">
      <w:pPr>
        <w:pStyle w:val="ListParagraph"/>
        <w:numPr>
          <w:ilvl w:val="0"/>
          <w:numId w:val="41"/>
        </w:numPr>
        <w:tabs>
          <w:tab w:val="left" w:pos="1377"/>
        </w:tabs>
        <w:overflowPunct w:val="0"/>
        <w:autoSpaceDE w:val="0"/>
        <w:autoSpaceDN w:val="0"/>
        <w:adjustRightInd w:val="0"/>
        <w:spacing w:after="120"/>
        <w:textAlignment w:val="baseline"/>
        <w:rPr>
          <w:rFonts w:cs="Arial"/>
          <w:b/>
          <w:i/>
          <w:iCs/>
          <w:lang w:val="en-GB"/>
        </w:rPr>
      </w:pPr>
      <w:r w:rsidRPr="00F50E1F">
        <w:rPr>
          <w:rFonts w:cs="Arial"/>
          <w:b/>
          <w:i/>
          <w:iCs/>
          <w:lang w:val="en-GB"/>
        </w:rPr>
        <w:t>(optional) list of cells for which network expects inference report and their corresponding associated IDs</w:t>
      </w:r>
    </w:p>
    <w:p w14:paraId="2AA7DD35" w14:textId="6E9FF7AE" w:rsidR="00233BAA" w:rsidRPr="00F50E1F" w:rsidRDefault="00865B21" w:rsidP="00C15AF1">
      <w:pPr>
        <w:tabs>
          <w:tab w:val="left" w:pos="1377"/>
        </w:tabs>
        <w:ind w:left="1170" w:hanging="1170"/>
        <w:jc w:val="left"/>
        <w:rPr>
          <w:rFonts w:cs="Arial"/>
          <w:b/>
          <w:i/>
          <w:iCs/>
        </w:rPr>
      </w:pPr>
      <w:r w:rsidRPr="000932A1">
        <w:rPr>
          <w:rFonts w:cs="Arial"/>
          <w:b/>
          <w:u w:val="single"/>
        </w:rPr>
        <w:t xml:space="preserve">Proposal </w:t>
      </w:r>
      <w:r>
        <w:rPr>
          <w:rFonts w:cs="Arial"/>
          <w:b/>
          <w:u w:val="single"/>
        </w:rPr>
        <w:t>9</w:t>
      </w:r>
      <w:r w:rsidRPr="000932A1">
        <w:rPr>
          <w:rFonts w:cs="Arial"/>
          <w:b/>
          <w:u w:val="single"/>
        </w:rPr>
        <w:t>:</w:t>
      </w:r>
      <w:r w:rsidRPr="00F50E1F">
        <w:rPr>
          <w:rFonts w:cs="Arial"/>
          <w:b/>
        </w:rPr>
        <w:t xml:space="preserve"> </w:t>
      </w:r>
      <w:r w:rsidR="00233BAA" w:rsidRPr="00F50E1F">
        <w:rPr>
          <w:rFonts w:cs="Arial"/>
          <w:b/>
          <w:i/>
          <w:iCs/>
        </w:rPr>
        <w:t xml:space="preserve">RAN2 to confirm the following information to be included in the </w:t>
      </w:r>
      <w:r w:rsidR="00E51C13">
        <w:rPr>
          <w:rFonts w:cs="Arial"/>
          <w:b/>
          <w:i/>
          <w:iCs/>
        </w:rPr>
        <w:t xml:space="preserve">predicted </w:t>
      </w:r>
      <w:r w:rsidR="00233BAA" w:rsidRPr="00F50E1F">
        <w:rPr>
          <w:rFonts w:cs="Arial"/>
          <w:b/>
          <w:i/>
          <w:iCs/>
        </w:rPr>
        <w:t>measurement report (for each reported cell):</w:t>
      </w:r>
    </w:p>
    <w:p w14:paraId="04DDF91F" w14:textId="516FBCAC" w:rsidR="00233BAA" w:rsidRPr="00F50E1F" w:rsidRDefault="00233BAA" w:rsidP="00C15AF1">
      <w:pPr>
        <w:pStyle w:val="ListParagraph"/>
        <w:numPr>
          <w:ilvl w:val="0"/>
          <w:numId w:val="41"/>
        </w:numPr>
        <w:tabs>
          <w:tab w:val="left" w:pos="1377"/>
        </w:tabs>
        <w:overflowPunct w:val="0"/>
        <w:autoSpaceDE w:val="0"/>
        <w:autoSpaceDN w:val="0"/>
        <w:adjustRightInd w:val="0"/>
        <w:spacing w:after="120"/>
        <w:textAlignment w:val="baseline"/>
        <w:rPr>
          <w:rFonts w:cs="Arial"/>
          <w:b/>
          <w:i/>
          <w:iCs/>
          <w:lang w:val="en-GB"/>
        </w:rPr>
      </w:pPr>
      <w:r w:rsidRPr="00F50E1F">
        <w:rPr>
          <w:rFonts w:cs="Arial"/>
          <w:b/>
          <w:i/>
          <w:iCs/>
          <w:lang w:val="en-GB"/>
        </w:rPr>
        <w:t>For intra-frequency temporal domain case A, one or more instances of predicted measurement result(s) in PW can be reported</w:t>
      </w:r>
    </w:p>
    <w:p w14:paraId="52AADCF2" w14:textId="46A60400" w:rsidR="00233BAA" w:rsidRPr="00F50E1F" w:rsidRDefault="00233BAA" w:rsidP="00C15AF1">
      <w:pPr>
        <w:pStyle w:val="ListParagraph"/>
        <w:numPr>
          <w:ilvl w:val="0"/>
          <w:numId w:val="41"/>
        </w:numPr>
        <w:tabs>
          <w:tab w:val="left" w:pos="1377"/>
        </w:tabs>
        <w:overflowPunct w:val="0"/>
        <w:autoSpaceDE w:val="0"/>
        <w:autoSpaceDN w:val="0"/>
        <w:adjustRightInd w:val="0"/>
        <w:spacing w:after="120"/>
        <w:textAlignment w:val="baseline"/>
        <w:rPr>
          <w:rFonts w:cs="Arial"/>
          <w:b/>
          <w:i/>
          <w:iCs/>
          <w:lang w:val="en-GB"/>
        </w:rPr>
      </w:pPr>
      <w:r w:rsidRPr="00F50E1F">
        <w:rPr>
          <w:rFonts w:cs="Arial"/>
          <w:b/>
          <w:i/>
          <w:iCs/>
          <w:lang w:val="en-GB"/>
        </w:rPr>
        <w:t>For intra-frequency temporal domain case B, the latest actual or predicted measurement result can be reported</w:t>
      </w:r>
    </w:p>
    <w:p w14:paraId="7FEB2313" w14:textId="77777777" w:rsidR="00233BAA" w:rsidRPr="00F50E1F" w:rsidRDefault="00233BAA" w:rsidP="00C15AF1">
      <w:pPr>
        <w:pStyle w:val="ListParagraph"/>
        <w:numPr>
          <w:ilvl w:val="0"/>
          <w:numId w:val="41"/>
        </w:numPr>
        <w:tabs>
          <w:tab w:val="left" w:pos="1377"/>
        </w:tabs>
        <w:overflowPunct w:val="0"/>
        <w:autoSpaceDE w:val="0"/>
        <w:autoSpaceDN w:val="0"/>
        <w:adjustRightInd w:val="0"/>
        <w:spacing w:after="120"/>
        <w:textAlignment w:val="baseline"/>
        <w:rPr>
          <w:rFonts w:cs="Arial"/>
          <w:b/>
          <w:i/>
          <w:iCs/>
          <w:lang w:val="en-GB"/>
        </w:rPr>
      </w:pPr>
      <w:r w:rsidRPr="00F50E1F">
        <w:rPr>
          <w:rFonts w:cs="Arial" w:hint="eastAsia"/>
          <w:b/>
          <w:i/>
          <w:iCs/>
          <w:lang w:val="en-GB"/>
        </w:rPr>
        <w:t xml:space="preserve">For inter-frequency prediction, the latest </w:t>
      </w:r>
      <w:r w:rsidRPr="00F50E1F">
        <w:rPr>
          <w:rFonts w:cs="Arial"/>
          <w:b/>
          <w:i/>
          <w:iCs/>
          <w:lang w:val="en-GB"/>
        </w:rPr>
        <w:t xml:space="preserve">predicted </w:t>
      </w:r>
      <w:r w:rsidRPr="00F50E1F">
        <w:rPr>
          <w:rFonts w:cs="Arial" w:hint="eastAsia"/>
          <w:b/>
          <w:i/>
          <w:iCs/>
          <w:lang w:val="en-GB"/>
        </w:rPr>
        <w:t>measurement result is reported.</w:t>
      </w:r>
    </w:p>
    <w:p w14:paraId="7AAD9712" w14:textId="77777777" w:rsidR="00233BAA" w:rsidRPr="00F50E1F" w:rsidRDefault="00233BAA" w:rsidP="00C15AF1">
      <w:pPr>
        <w:pStyle w:val="Heading2"/>
        <w:numPr>
          <w:ilvl w:val="0"/>
          <w:numId w:val="0"/>
        </w:numPr>
        <w:ind w:left="576" w:hanging="576"/>
        <w:rPr>
          <w:sz w:val="28"/>
          <w:szCs w:val="28"/>
        </w:rPr>
      </w:pPr>
      <w:r w:rsidRPr="00F50E1F">
        <w:rPr>
          <w:sz w:val="28"/>
          <w:szCs w:val="28"/>
        </w:rPr>
        <w:t>2.4 Network side additional condition (associated IDs)</w:t>
      </w:r>
    </w:p>
    <w:p w14:paraId="70898173" w14:textId="16A7B14C" w:rsidR="00233BAA" w:rsidRPr="00F50E1F" w:rsidRDefault="00233BAA" w:rsidP="00C15AF1">
      <w:pPr>
        <w:jc w:val="left"/>
      </w:pPr>
      <w:r w:rsidRPr="00F50E1F">
        <w:t xml:space="preserve">For the AIML BM case, though there has been some discussion whether an associated ID can be common to multiple cells, our general understanding is that the UE may be configured with only one associated ID for determining applicability determination (which corresponds to the network side additional conditions of the cell where the beams are being predicted). In the case of AIML mobility, on the other hand, the UE may be configured to perform simultaneous predictions for multiple cells. For example, a UE may perform temporal prediction for the serving cell and multiple </w:t>
      </w:r>
      <w:r w:rsidR="00345572" w:rsidRPr="00F50E1F">
        <w:t>neighbour</w:t>
      </w:r>
      <w:r w:rsidRPr="00F50E1F">
        <w:t xml:space="preserve"> cells. Likewise, the UE may use RRM measurements from various cells as the input of its AIML model (e.g., in the cluster-based approach) to generate RRM </w:t>
      </w:r>
      <w:r w:rsidRPr="00F50E1F">
        <w:lastRenderedPageBreak/>
        <w:t>predictions for one or more cells. In such cases, the UE may need to be provided with associated IDs for multiple cells, and the UE’s model may have been trained only for a subset of these associated IDs.</w:t>
      </w:r>
    </w:p>
    <w:p w14:paraId="663818FA" w14:textId="4DA5A756" w:rsidR="00233BAA" w:rsidRPr="00F50E1F" w:rsidRDefault="00233BAA" w:rsidP="00C15AF1">
      <w:pPr>
        <w:tabs>
          <w:tab w:val="left" w:pos="1377"/>
        </w:tabs>
        <w:ind w:left="1354" w:hanging="1354"/>
        <w:jc w:val="left"/>
        <w:rPr>
          <w:rFonts w:cs="Arial"/>
          <w:bCs/>
          <w:i/>
          <w:iCs/>
        </w:rPr>
      </w:pPr>
      <w:r w:rsidRPr="009E6FDB">
        <w:rPr>
          <w:rFonts w:cs="Arial"/>
          <w:b/>
          <w:u w:val="single"/>
        </w:rPr>
        <w:t xml:space="preserve">Observation </w:t>
      </w:r>
      <w:r w:rsidR="00841460" w:rsidRPr="009E6FDB">
        <w:rPr>
          <w:rFonts w:cs="Arial"/>
          <w:b/>
          <w:u w:val="single"/>
        </w:rPr>
        <w:t>6</w:t>
      </w:r>
      <w:r w:rsidRPr="009E6FDB">
        <w:rPr>
          <w:rFonts w:cs="Arial"/>
          <w:b/>
          <w:u w:val="single"/>
        </w:rPr>
        <w:t>:</w:t>
      </w:r>
      <w:r w:rsidRPr="00F50E1F">
        <w:rPr>
          <w:rFonts w:cs="Arial"/>
          <w:bCs/>
          <w:i/>
          <w:iCs/>
        </w:rPr>
        <w:t xml:space="preserve"> The UE may need to be configured with multiple associated IDs for performing applicability determination for AIML mobility. </w:t>
      </w:r>
    </w:p>
    <w:p w14:paraId="112326EF" w14:textId="6711763E" w:rsidR="00233BAA" w:rsidRPr="00F50E1F" w:rsidRDefault="00233BAA" w:rsidP="00C15AF1">
      <w:pPr>
        <w:tabs>
          <w:tab w:val="left" w:pos="1377"/>
        </w:tabs>
        <w:ind w:left="1354" w:hanging="1354"/>
        <w:jc w:val="left"/>
        <w:rPr>
          <w:rFonts w:cs="Arial"/>
          <w:bCs/>
          <w:i/>
          <w:iCs/>
        </w:rPr>
      </w:pPr>
      <w:r w:rsidRPr="009E6FDB">
        <w:rPr>
          <w:rFonts w:cs="Arial"/>
          <w:b/>
          <w:u w:val="single"/>
        </w:rPr>
        <w:t xml:space="preserve">Observation </w:t>
      </w:r>
      <w:r w:rsidR="00841460" w:rsidRPr="009E6FDB">
        <w:rPr>
          <w:rFonts w:cs="Arial"/>
          <w:b/>
          <w:u w:val="single"/>
        </w:rPr>
        <w:t>7</w:t>
      </w:r>
      <w:r w:rsidRPr="009E6FDB">
        <w:rPr>
          <w:rFonts w:cs="Arial"/>
          <w:b/>
          <w:u w:val="single"/>
        </w:rPr>
        <w:t>:</w:t>
      </w:r>
      <w:r w:rsidRPr="00F50E1F">
        <w:rPr>
          <w:rFonts w:cs="Arial"/>
          <w:bCs/>
          <w:i/>
          <w:iCs/>
        </w:rPr>
        <w:t xml:space="preserve"> There may be cases in RRM measurement prediction where there is a partial match between the associated IDs of the input/output cells used during the training of the AIML model and the current associated IDs of the concerned cells. </w:t>
      </w:r>
    </w:p>
    <w:p w14:paraId="0C9958D2" w14:textId="77777777" w:rsidR="00233BAA" w:rsidRPr="00F50E1F" w:rsidRDefault="00233BAA" w:rsidP="00C15AF1">
      <w:pPr>
        <w:tabs>
          <w:tab w:val="left" w:pos="1377"/>
        </w:tabs>
        <w:jc w:val="left"/>
        <w:rPr>
          <w:rFonts w:eastAsia="DengXian"/>
        </w:rPr>
      </w:pPr>
      <w:r w:rsidRPr="00F50E1F">
        <w:t xml:space="preserve">Like in the BM use case, the UE can determine the applicability of the RRM measurement prediction functionality by considering model availability, NW-side additional conditions </w:t>
      </w:r>
      <w:r w:rsidRPr="00F50E1F">
        <w:rPr>
          <w:rFonts w:eastAsia="DengXian"/>
        </w:rPr>
        <w:t xml:space="preserve">(i.e., the provided associated ID(s)), UE-side additional conditions (internally known by UE) and the provided inference configuration. However, now the provided associated IDs may not all be fully compatible with the training of the UE’s model. This may in turn influence the applicability determination for the configured AIML functionality. </w:t>
      </w:r>
    </w:p>
    <w:p w14:paraId="71F13A64" w14:textId="77777777" w:rsidR="00233BAA" w:rsidRPr="00F50E1F" w:rsidRDefault="00233BAA" w:rsidP="00C15AF1">
      <w:pPr>
        <w:tabs>
          <w:tab w:val="left" w:pos="1377"/>
        </w:tabs>
        <w:jc w:val="left"/>
        <w:rPr>
          <w:rFonts w:eastAsia="DengXian"/>
        </w:rPr>
      </w:pPr>
      <w:r w:rsidRPr="00F50E1F">
        <w:rPr>
          <w:rFonts w:eastAsia="DengXian"/>
        </w:rPr>
        <w:t>Thus, we propose:</w:t>
      </w:r>
    </w:p>
    <w:p w14:paraId="4E5A00D1" w14:textId="6E7AFF12" w:rsidR="00233BAA" w:rsidRPr="00F50E1F" w:rsidRDefault="00B45A6E" w:rsidP="00C15AF1">
      <w:pPr>
        <w:tabs>
          <w:tab w:val="left" w:pos="1377"/>
        </w:tabs>
        <w:ind w:left="1170" w:hanging="1170"/>
        <w:jc w:val="left"/>
        <w:rPr>
          <w:rFonts w:cs="Arial"/>
          <w:b/>
          <w:i/>
          <w:iCs/>
        </w:rPr>
      </w:pPr>
      <w:r w:rsidRPr="00B45A6E">
        <w:rPr>
          <w:rFonts w:cs="Arial"/>
          <w:b/>
          <w:u w:val="single"/>
        </w:rPr>
        <w:t>Proposal 1</w:t>
      </w:r>
      <w:r>
        <w:rPr>
          <w:rFonts w:cs="Arial"/>
          <w:b/>
          <w:u w:val="single"/>
        </w:rPr>
        <w:t>0</w:t>
      </w:r>
      <w:r w:rsidR="00865B21" w:rsidRPr="000932A1">
        <w:rPr>
          <w:rFonts w:cs="Arial"/>
          <w:b/>
          <w:u w:val="single"/>
        </w:rPr>
        <w:t>:</w:t>
      </w:r>
      <w:r w:rsidR="00865B21" w:rsidRPr="00F50E1F">
        <w:rPr>
          <w:rFonts w:cs="Arial"/>
          <w:b/>
        </w:rPr>
        <w:t xml:space="preserve"> </w:t>
      </w:r>
      <w:r w:rsidR="00233BAA" w:rsidRPr="00F50E1F">
        <w:rPr>
          <w:rFonts w:cs="Arial"/>
          <w:b/>
          <w:i/>
          <w:iCs/>
        </w:rPr>
        <w:t>For RRM measurement prediction, the UE may be provided with multiple associated IDs (e.g., corresponding to different serving/</w:t>
      </w:r>
      <w:r w:rsidR="00345572" w:rsidRPr="00F50E1F">
        <w:rPr>
          <w:rFonts w:cs="Arial"/>
          <w:b/>
          <w:i/>
          <w:iCs/>
        </w:rPr>
        <w:t>neighbour</w:t>
      </w:r>
      <w:r w:rsidR="00233BAA" w:rsidRPr="00F50E1F">
        <w:rPr>
          <w:rFonts w:cs="Arial"/>
          <w:b/>
          <w:i/>
          <w:iCs/>
        </w:rPr>
        <w:t xml:space="preserve"> cells being predicted). </w:t>
      </w:r>
    </w:p>
    <w:p w14:paraId="6DDE40BE" w14:textId="2B2D6C73" w:rsidR="00233BAA" w:rsidRPr="00F50E1F" w:rsidRDefault="00B45A6E" w:rsidP="00C15AF1">
      <w:pPr>
        <w:tabs>
          <w:tab w:val="left" w:pos="1377"/>
        </w:tabs>
        <w:ind w:left="1170" w:hanging="1170"/>
        <w:jc w:val="left"/>
        <w:rPr>
          <w:rFonts w:cs="Arial"/>
          <w:b/>
          <w:i/>
          <w:iCs/>
        </w:rPr>
      </w:pPr>
      <w:bookmarkStart w:id="3" w:name="_Hlk213101344"/>
      <w:r w:rsidRPr="00B45A6E">
        <w:rPr>
          <w:rFonts w:cs="Arial"/>
          <w:b/>
          <w:u w:val="single"/>
        </w:rPr>
        <w:t>Proposal 1</w:t>
      </w:r>
      <w:r>
        <w:rPr>
          <w:rFonts w:cs="Arial"/>
          <w:b/>
          <w:u w:val="single"/>
        </w:rPr>
        <w:t>1</w:t>
      </w:r>
      <w:r w:rsidR="00865B21" w:rsidRPr="000932A1">
        <w:rPr>
          <w:rFonts w:cs="Arial"/>
          <w:b/>
          <w:u w:val="single"/>
        </w:rPr>
        <w:t>:</w:t>
      </w:r>
      <w:r w:rsidR="00865B21" w:rsidRPr="00F50E1F">
        <w:rPr>
          <w:rFonts w:cs="Arial"/>
          <w:b/>
        </w:rPr>
        <w:t xml:space="preserve"> </w:t>
      </w:r>
      <w:r w:rsidR="00233BAA" w:rsidRPr="00F50E1F">
        <w:rPr>
          <w:rFonts w:cs="Arial"/>
          <w:b/>
          <w:i/>
          <w:iCs/>
        </w:rPr>
        <w:t xml:space="preserve">An RRM measurement prediction configuration may be fully applicable, fully non-applicable, or partially applicable. </w:t>
      </w:r>
    </w:p>
    <w:bookmarkEnd w:id="3"/>
    <w:p w14:paraId="0266ABAB" w14:textId="77777777" w:rsidR="00233BAA" w:rsidRPr="00F50E1F" w:rsidRDefault="00233BAA" w:rsidP="00C15AF1">
      <w:pPr>
        <w:pStyle w:val="Heading2"/>
        <w:numPr>
          <w:ilvl w:val="0"/>
          <w:numId w:val="0"/>
        </w:numPr>
        <w:ind w:left="576" w:hanging="576"/>
        <w:rPr>
          <w:sz w:val="28"/>
          <w:szCs w:val="28"/>
        </w:rPr>
      </w:pPr>
      <w:r w:rsidRPr="00F50E1F">
        <w:rPr>
          <w:sz w:val="28"/>
          <w:szCs w:val="28"/>
        </w:rPr>
        <w:t>2.5 Performing Inference</w:t>
      </w:r>
    </w:p>
    <w:p w14:paraId="37D46F4D" w14:textId="77777777" w:rsidR="00233BAA" w:rsidRPr="00F50E1F" w:rsidRDefault="00233BAA" w:rsidP="00C15AF1">
      <w:pPr>
        <w:jc w:val="left"/>
        <w:rPr>
          <w:rFonts w:eastAsia="DengXian"/>
        </w:rPr>
      </w:pPr>
      <w:r w:rsidRPr="00F50E1F">
        <w:rPr>
          <w:rFonts w:eastAsia="DengXian"/>
        </w:rPr>
        <w:t>In the case of AIML BM, periodic CSI reporting is activated upon configuration, while semi-persistent reporting needs to be activated by MAC CE/DCI and aperiodic CSI reporting can be activated by DCI. However, for RRM measurements, the activation is always upon the reception of the configuration.</w:t>
      </w:r>
    </w:p>
    <w:p w14:paraId="6BBEAEF2" w14:textId="13101E3D" w:rsidR="00233BAA" w:rsidRPr="00F50E1F" w:rsidRDefault="00233BAA" w:rsidP="00C15AF1">
      <w:pPr>
        <w:jc w:val="left"/>
        <w:rPr>
          <w:rFonts w:eastAsia="DengXian"/>
        </w:rPr>
      </w:pPr>
      <w:r w:rsidRPr="00F50E1F">
        <w:rPr>
          <w:rFonts w:eastAsia="DengXian"/>
        </w:rPr>
        <w:t xml:space="preserve">One approach for the case of the RRM measurement prediction is to apply legacy </w:t>
      </w:r>
      <w:r w:rsidR="00F50E1F" w:rsidRPr="00F50E1F">
        <w:rPr>
          <w:rFonts w:eastAsia="DengXian"/>
        </w:rPr>
        <w:t>behaviour</w:t>
      </w:r>
      <w:r w:rsidRPr="00F50E1F">
        <w:rPr>
          <w:rFonts w:eastAsia="DengXian"/>
        </w:rPr>
        <w:t xml:space="preserve">. That is, the UE will start performing the predictions according to the received inference configuration if it has determined that it has an applicable RRM measurement prediction model. A disadvantage of such an approach is that the UE may perform unnecessary inferences/predictions even when it is not needed (e.g., when the UE is near the serving cell </w:t>
      </w:r>
      <w:proofErr w:type="spellStart"/>
      <w:r w:rsidRPr="00F50E1F">
        <w:rPr>
          <w:rFonts w:eastAsia="DengXian"/>
        </w:rPr>
        <w:t>center</w:t>
      </w:r>
      <w:proofErr w:type="spellEnd"/>
      <w:r w:rsidRPr="00F50E1F">
        <w:rPr>
          <w:rFonts w:eastAsia="DengXian"/>
        </w:rPr>
        <w:t xml:space="preserve">). Even in legacy RRM framework, there are optional configurations such as s-measure that prevent the UE from performing unnecessary measurements. Thus, it should be discussed whether such mechanisms are needed for controlling inferences as well. </w:t>
      </w:r>
    </w:p>
    <w:p w14:paraId="0D4A5FD2" w14:textId="065794C9" w:rsidR="00233BAA" w:rsidRPr="00F50E1F" w:rsidRDefault="00233BAA" w:rsidP="00C15AF1">
      <w:pPr>
        <w:tabs>
          <w:tab w:val="left" w:pos="1377"/>
        </w:tabs>
        <w:ind w:left="1354" w:hanging="1354"/>
        <w:jc w:val="left"/>
        <w:rPr>
          <w:rFonts w:eastAsia="DengXian"/>
          <w:bCs/>
        </w:rPr>
      </w:pPr>
      <w:r w:rsidRPr="009E6FDB">
        <w:rPr>
          <w:rFonts w:cs="Arial"/>
          <w:b/>
          <w:u w:val="single"/>
        </w:rPr>
        <w:t xml:space="preserve">Observation </w:t>
      </w:r>
      <w:r w:rsidR="00841460">
        <w:rPr>
          <w:rFonts w:cs="Arial"/>
          <w:b/>
          <w:u w:val="single"/>
        </w:rPr>
        <w:t>8</w:t>
      </w:r>
      <w:r w:rsidRPr="009E6FDB">
        <w:rPr>
          <w:rFonts w:cs="Arial"/>
          <w:b/>
          <w:u w:val="single"/>
        </w:rPr>
        <w:t>:</w:t>
      </w:r>
      <w:r w:rsidRPr="00F50E1F">
        <w:rPr>
          <w:rFonts w:cs="Arial"/>
          <w:b/>
          <w:i/>
          <w:iCs/>
        </w:rPr>
        <w:t xml:space="preserve"> </w:t>
      </w:r>
      <w:r w:rsidRPr="00F50E1F">
        <w:rPr>
          <w:rFonts w:cs="Arial"/>
          <w:bCs/>
          <w:i/>
          <w:iCs/>
        </w:rPr>
        <w:t>Performing RRM measurement predictions all the time is highly inefficient (e.g., when the UE is under excellent serving cell coverage).</w:t>
      </w:r>
    </w:p>
    <w:p w14:paraId="794AAFF6" w14:textId="77777777" w:rsidR="00233BAA" w:rsidRPr="00F50E1F" w:rsidRDefault="00233BAA" w:rsidP="00C15AF1">
      <w:pPr>
        <w:jc w:val="left"/>
        <w:rPr>
          <w:rFonts w:eastAsia="DengXian"/>
        </w:rPr>
      </w:pPr>
      <w:r w:rsidRPr="00F50E1F">
        <w:rPr>
          <w:rFonts w:eastAsia="DengXian"/>
        </w:rPr>
        <w:t>Thus, we propose the following:</w:t>
      </w:r>
    </w:p>
    <w:p w14:paraId="414D64CE" w14:textId="3E5BD904" w:rsidR="00233BAA" w:rsidRPr="00F50E1F" w:rsidRDefault="00B45A6E" w:rsidP="00C15AF1">
      <w:pPr>
        <w:tabs>
          <w:tab w:val="left" w:pos="1377"/>
        </w:tabs>
        <w:ind w:left="1170" w:hanging="1170"/>
        <w:jc w:val="left"/>
        <w:rPr>
          <w:rFonts w:cs="Arial"/>
          <w:b/>
          <w:i/>
          <w:iCs/>
        </w:rPr>
      </w:pPr>
      <w:r w:rsidRPr="00B45A6E">
        <w:rPr>
          <w:rFonts w:cs="Arial"/>
          <w:b/>
          <w:u w:val="single"/>
        </w:rPr>
        <w:t>Proposal 1</w:t>
      </w:r>
      <w:r>
        <w:rPr>
          <w:rFonts w:cs="Arial"/>
          <w:b/>
          <w:u w:val="single"/>
        </w:rPr>
        <w:t>2</w:t>
      </w:r>
      <w:r w:rsidRPr="00B45A6E">
        <w:rPr>
          <w:rFonts w:cs="Arial"/>
          <w:b/>
          <w:u w:val="single"/>
        </w:rPr>
        <w:t xml:space="preserve">: </w:t>
      </w:r>
      <w:r w:rsidR="00233BAA" w:rsidRPr="00F50E1F">
        <w:rPr>
          <w:rFonts w:cs="Arial"/>
          <w:b/>
          <w:i/>
          <w:iCs/>
        </w:rPr>
        <w:t>The UE can be configured to start performing RRM measurement predictions in one of the following ways:</w:t>
      </w:r>
    </w:p>
    <w:p w14:paraId="5121172A" w14:textId="77777777" w:rsidR="00233BAA" w:rsidRPr="00F50E1F" w:rsidRDefault="00233BAA" w:rsidP="00C15AF1">
      <w:pPr>
        <w:pStyle w:val="ListParagraph"/>
        <w:numPr>
          <w:ilvl w:val="0"/>
          <w:numId w:val="43"/>
        </w:numPr>
        <w:tabs>
          <w:tab w:val="left" w:pos="1377"/>
        </w:tabs>
        <w:overflowPunct w:val="0"/>
        <w:autoSpaceDE w:val="0"/>
        <w:autoSpaceDN w:val="0"/>
        <w:adjustRightInd w:val="0"/>
        <w:spacing w:after="120"/>
        <w:ind w:left="1354" w:hanging="216"/>
        <w:textAlignment w:val="baseline"/>
        <w:rPr>
          <w:rFonts w:cs="Arial"/>
          <w:b/>
          <w:i/>
          <w:iCs/>
          <w:lang w:val="en-GB"/>
        </w:rPr>
      </w:pPr>
      <w:r w:rsidRPr="00F50E1F">
        <w:rPr>
          <w:rFonts w:cs="Arial"/>
          <w:b/>
          <w:i/>
          <w:iCs/>
          <w:lang w:val="en-GB"/>
        </w:rPr>
        <w:t>Automatically, upon the reception of the inference configuration and after determining that it has an applicable model.</w:t>
      </w:r>
    </w:p>
    <w:p w14:paraId="4AD8B3AC" w14:textId="67D76F54" w:rsidR="004C0BD4" w:rsidRPr="00F50E1F" w:rsidRDefault="00233BAA" w:rsidP="00C15AF1">
      <w:pPr>
        <w:pStyle w:val="ListParagraph"/>
        <w:numPr>
          <w:ilvl w:val="0"/>
          <w:numId w:val="43"/>
        </w:numPr>
        <w:tabs>
          <w:tab w:val="left" w:pos="1377"/>
        </w:tabs>
        <w:overflowPunct w:val="0"/>
        <w:autoSpaceDE w:val="0"/>
        <w:autoSpaceDN w:val="0"/>
        <w:adjustRightInd w:val="0"/>
        <w:spacing w:after="120"/>
        <w:ind w:left="1354" w:hanging="216"/>
        <w:textAlignment w:val="baseline"/>
        <w:rPr>
          <w:rFonts w:eastAsia="Times New Roman" w:cs="Arial"/>
          <w:lang w:val="en-GB"/>
        </w:rPr>
      </w:pPr>
      <w:r w:rsidRPr="00F50E1F">
        <w:rPr>
          <w:rFonts w:cs="Arial"/>
          <w:b/>
          <w:i/>
          <w:iCs/>
          <w:lang w:val="en-GB"/>
        </w:rPr>
        <w:t xml:space="preserve">Upon the </w:t>
      </w:r>
      <w:r w:rsidR="00967C2D" w:rsidRPr="00F50E1F">
        <w:rPr>
          <w:rFonts w:cs="Arial"/>
          <w:b/>
          <w:i/>
          <w:iCs/>
          <w:lang w:val="en-GB"/>
        </w:rPr>
        <w:t>fulfilment</w:t>
      </w:r>
      <w:r w:rsidRPr="00F50E1F">
        <w:rPr>
          <w:rFonts w:cs="Arial"/>
          <w:b/>
          <w:i/>
          <w:iCs/>
          <w:lang w:val="en-GB"/>
        </w:rPr>
        <w:t xml:space="preserve"> of further conditions. The details of the conditions are FFS (e.g., configuration like the s-measure for starting inference).</w:t>
      </w:r>
    </w:p>
    <w:p w14:paraId="7A856D0A" w14:textId="4CB73874" w:rsidR="008A6557" w:rsidRPr="00F50E1F" w:rsidRDefault="00D9371E" w:rsidP="00C15AF1">
      <w:pPr>
        <w:pStyle w:val="Heading1"/>
      </w:pPr>
      <w:r w:rsidRPr="00F50E1F">
        <w:t>Conclusion</w:t>
      </w:r>
    </w:p>
    <w:p w14:paraId="094074C2" w14:textId="5A80D181" w:rsidR="00135F1A" w:rsidRPr="00F50E1F" w:rsidRDefault="00135F1A" w:rsidP="009E6FDB">
      <w:pPr>
        <w:jc w:val="left"/>
      </w:pPr>
      <w:r w:rsidRPr="00F50E1F">
        <w:t>In this contribution, we discussed various LCM and functionality management aspects for the RRM measurement prediction functionality. The following observations and proposals were made:</w:t>
      </w:r>
    </w:p>
    <w:p w14:paraId="541ED1CB" w14:textId="77777777" w:rsidR="00135F1A" w:rsidRPr="00F50E1F" w:rsidRDefault="00135F1A" w:rsidP="009E6FDB">
      <w:pPr>
        <w:jc w:val="left"/>
        <w:rPr>
          <w:highlight w:val="lightGray"/>
        </w:rPr>
      </w:pPr>
    </w:p>
    <w:p w14:paraId="60F1A80E" w14:textId="77777777" w:rsidR="00910892" w:rsidRPr="00A5385F" w:rsidRDefault="00910892" w:rsidP="00910892">
      <w:pPr>
        <w:jc w:val="left"/>
        <w:rPr>
          <w:szCs w:val="22"/>
        </w:rPr>
      </w:pPr>
      <w:r w:rsidRPr="00A5385F">
        <w:rPr>
          <w:szCs w:val="22"/>
          <w:highlight w:val="lightGray"/>
        </w:rPr>
        <w:t>[Applicability change reporting via Reconfiguration Complete]</w:t>
      </w:r>
    </w:p>
    <w:p w14:paraId="1F136D7D" w14:textId="77777777" w:rsidR="007F15C8" w:rsidRPr="008F08F1" w:rsidRDefault="007F15C8" w:rsidP="007F15C8">
      <w:pPr>
        <w:tabs>
          <w:tab w:val="left" w:pos="1377"/>
        </w:tabs>
        <w:ind w:left="1354" w:hanging="1354"/>
        <w:jc w:val="left"/>
        <w:rPr>
          <w:rFonts w:cs="Arial"/>
          <w:b/>
        </w:rPr>
      </w:pPr>
      <w:r w:rsidRPr="008F08F1">
        <w:rPr>
          <w:rFonts w:cs="Arial"/>
          <w:b/>
          <w:u w:val="single"/>
        </w:rPr>
        <w:lastRenderedPageBreak/>
        <w:t>Observation 1</w:t>
      </w:r>
      <w:r w:rsidRPr="008F08F1">
        <w:rPr>
          <w:rFonts w:cs="Arial"/>
          <w:bCs/>
          <w:i/>
          <w:iCs/>
          <w:u w:val="single"/>
        </w:rPr>
        <w:t>:</w:t>
      </w:r>
      <w:r w:rsidRPr="005A2DCF">
        <w:rPr>
          <w:rFonts w:cs="Arial"/>
          <w:bCs/>
          <w:i/>
          <w:iCs/>
        </w:rPr>
        <w:t xml:space="preserve"> </w:t>
      </w:r>
      <w:r>
        <w:rPr>
          <w:rFonts w:cs="Arial"/>
          <w:bCs/>
          <w:i/>
          <w:iCs/>
        </w:rPr>
        <w:t xml:space="preserve">Since it’s been agreed that applicability reporting via UAI is </w:t>
      </w:r>
      <w:r w:rsidRPr="009E6FDB">
        <w:rPr>
          <w:rFonts w:cs="Arial"/>
          <w:b/>
          <w:i/>
          <w:iCs/>
        </w:rPr>
        <w:t>always</w:t>
      </w:r>
      <w:r>
        <w:rPr>
          <w:rFonts w:cs="Arial"/>
          <w:bCs/>
          <w:i/>
          <w:iCs/>
        </w:rPr>
        <w:t xml:space="preserve"> configured, there is no necessity to report applicability change via RRC Reconfiguration Complete.</w:t>
      </w:r>
    </w:p>
    <w:p w14:paraId="475C21F6" w14:textId="77777777" w:rsidR="007F15C8" w:rsidRDefault="007F15C8" w:rsidP="007F15C8">
      <w:pPr>
        <w:jc w:val="left"/>
      </w:pPr>
    </w:p>
    <w:p w14:paraId="07FE470F" w14:textId="77777777" w:rsidR="007F15C8" w:rsidRDefault="007F15C8" w:rsidP="007F15C8">
      <w:pPr>
        <w:tabs>
          <w:tab w:val="left" w:pos="1377"/>
        </w:tabs>
        <w:ind w:left="1170" w:hanging="1170"/>
        <w:jc w:val="left"/>
        <w:rPr>
          <w:rFonts w:cs="Arial"/>
          <w:b/>
          <w:i/>
          <w:iCs/>
        </w:rPr>
      </w:pPr>
      <w:r w:rsidRPr="00F50E1F">
        <w:rPr>
          <w:rFonts w:cs="Arial"/>
          <w:b/>
          <w:u w:val="single"/>
        </w:rPr>
        <w:t xml:space="preserve">Proposal </w:t>
      </w:r>
      <w:r>
        <w:rPr>
          <w:rFonts w:cs="Arial"/>
          <w:b/>
          <w:u w:val="single"/>
        </w:rPr>
        <w:t>1</w:t>
      </w:r>
      <w:r w:rsidRPr="00F50E1F">
        <w:rPr>
          <w:rFonts w:cs="Arial"/>
          <w:b/>
          <w:u w:val="single"/>
        </w:rPr>
        <w:t>:</w:t>
      </w:r>
      <w:r w:rsidRPr="00F50E1F">
        <w:rPr>
          <w:rFonts w:cs="Arial"/>
          <w:b/>
        </w:rPr>
        <w:t xml:space="preserve"> </w:t>
      </w:r>
      <w:r w:rsidRPr="00F50E1F">
        <w:rPr>
          <w:rFonts w:cs="Arial"/>
          <w:b/>
          <w:i/>
          <w:iCs/>
        </w:rPr>
        <w:t xml:space="preserve">RAN2 to </w:t>
      </w:r>
      <w:r>
        <w:rPr>
          <w:rFonts w:cs="Arial"/>
          <w:b/>
          <w:i/>
          <w:iCs/>
        </w:rPr>
        <w:t xml:space="preserve">confirm that RRC Reconfiguration Complete is to be used only for applicability reporting of RRM measurement prediction configurations that are included in the preceding RRC Reconfiguration message and all other reporting related to applicability is performed via UAI. </w:t>
      </w:r>
    </w:p>
    <w:p w14:paraId="58F712DA" w14:textId="77777777" w:rsidR="00402953" w:rsidRDefault="00402953" w:rsidP="00C15AF1">
      <w:pPr>
        <w:tabs>
          <w:tab w:val="left" w:pos="1377"/>
        </w:tabs>
        <w:ind w:left="1170" w:hanging="1170"/>
        <w:jc w:val="left"/>
        <w:rPr>
          <w:rFonts w:cs="Arial"/>
          <w:b/>
          <w:i/>
          <w:iCs/>
        </w:rPr>
      </w:pPr>
    </w:p>
    <w:p w14:paraId="03DBE1DA" w14:textId="77777777" w:rsidR="008F0AD6" w:rsidRDefault="008F0AD6" w:rsidP="00C15AF1">
      <w:pPr>
        <w:tabs>
          <w:tab w:val="left" w:pos="1377"/>
        </w:tabs>
        <w:ind w:left="1170" w:hanging="1170"/>
        <w:jc w:val="left"/>
        <w:rPr>
          <w:rFonts w:cs="Arial"/>
          <w:b/>
          <w:i/>
          <w:iCs/>
        </w:rPr>
      </w:pPr>
    </w:p>
    <w:p w14:paraId="3A7B7BE9" w14:textId="77777777" w:rsidR="008F0AD6" w:rsidRPr="001C5689" w:rsidRDefault="008F0AD6" w:rsidP="008F0AD6">
      <w:pPr>
        <w:jc w:val="left"/>
        <w:rPr>
          <w:szCs w:val="22"/>
        </w:rPr>
      </w:pPr>
      <w:r w:rsidRPr="001C5689">
        <w:rPr>
          <w:szCs w:val="22"/>
          <w:highlight w:val="lightGray"/>
        </w:rPr>
        <w:t>[Autonomous release and fallback to non-AIML operations]</w:t>
      </w:r>
    </w:p>
    <w:p w14:paraId="5B8F258E" w14:textId="5C335CE1" w:rsidR="00A1706F" w:rsidRDefault="00A1706F" w:rsidP="00A1706F">
      <w:pPr>
        <w:tabs>
          <w:tab w:val="left" w:pos="1377"/>
        </w:tabs>
        <w:ind w:left="1354" w:hanging="1354"/>
        <w:jc w:val="left"/>
        <w:rPr>
          <w:rFonts w:cs="Arial"/>
          <w:bCs/>
          <w:i/>
          <w:iCs/>
        </w:rPr>
      </w:pPr>
      <w:r w:rsidRPr="008F08F1">
        <w:rPr>
          <w:rFonts w:cs="Arial"/>
          <w:b/>
          <w:u w:val="single"/>
        </w:rPr>
        <w:t xml:space="preserve">Observation </w:t>
      </w:r>
      <w:r>
        <w:rPr>
          <w:rFonts w:cs="Arial"/>
          <w:b/>
          <w:u w:val="single"/>
        </w:rPr>
        <w:t>2</w:t>
      </w:r>
      <w:r w:rsidRPr="008F08F1">
        <w:rPr>
          <w:rFonts w:cs="Arial"/>
          <w:bCs/>
          <w:i/>
          <w:iCs/>
          <w:u w:val="single"/>
        </w:rPr>
        <w:t>:</w:t>
      </w:r>
      <w:r w:rsidRPr="005A2DCF">
        <w:rPr>
          <w:rFonts w:cs="Arial"/>
          <w:bCs/>
          <w:i/>
          <w:iCs/>
        </w:rPr>
        <w:t xml:space="preserve"> </w:t>
      </w:r>
      <w:r w:rsidR="005A67B1">
        <w:rPr>
          <w:rFonts w:cs="Arial"/>
          <w:bCs/>
          <w:i/>
          <w:iCs/>
        </w:rPr>
        <w:t>Au</w:t>
      </w:r>
      <w:r w:rsidR="005A67B1" w:rsidRPr="00B359BD">
        <w:rPr>
          <w:rFonts w:cs="Arial"/>
          <w:bCs/>
          <w:i/>
          <w:iCs/>
        </w:rPr>
        <w:t xml:space="preserve">tonomous release of </w:t>
      </w:r>
      <w:r w:rsidR="005A67B1">
        <w:rPr>
          <w:rFonts w:cs="Arial"/>
          <w:bCs/>
          <w:i/>
          <w:iCs/>
        </w:rPr>
        <w:t>a temporarily non-</w:t>
      </w:r>
      <w:r w:rsidR="005A67B1" w:rsidRPr="00B359BD">
        <w:rPr>
          <w:rFonts w:cs="Arial"/>
          <w:bCs/>
          <w:i/>
          <w:iCs/>
        </w:rPr>
        <w:t>applicable inference configurations is inefficient and creates unnecessary signalling overhead</w:t>
      </w:r>
    </w:p>
    <w:p w14:paraId="1DA0A4C9" w14:textId="77777777" w:rsidR="00A1706F" w:rsidRDefault="00A1706F" w:rsidP="00A1706F">
      <w:pPr>
        <w:jc w:val="left"/>
        <w:rPr>
          <w:rFonts w:cs="Arial"/>
          <w:bCs/>
          <w:i/>
          <w:iCs/>
        </w:rPr>
      </w:pPr>
    </w:p>
    <w:p w14:paraId="67EB7533" w14:textId="7FFC76BF" w:rsidR="00A1706F" w:rsidRDefault="00A1706F" w:rsidP="00A1706F">
      <w:pPr>
        <w:tabs>
          <w:tab w:val="left" w:pos="1377"/>
        </w:tabs>
        <w:ind w:left="1354" w:hanging="1354"/>
        <w:jc w:val="left"/>
        <w:rPr>
          <w:rFonts w:cs="Arial"/>
          <w:bCs/>
          <w:i/>
          <w:iCs/>
        </w:rPr>
      </w:pPr>
      <w:r w:rsidRPr="008F08F1">
        <w:rPr>
          <w:rFonts w:cs="Arial"/>
          <w:b/>
          <w:u w:val="single"/>
        </w:rPr>
        <w:t xml:space="preserve">Observation </w:t>
      </w:r>
      <w:r>
        <w:rPr>
          <w:rFonts w:cs="Arial"/>
          <w:b/>
          <w:u w:val="single"/>
        </w:rPr>
        <w:t>3</w:t>
      </w:r>
      <w:r w:rsidRPr="008F08F1">
        <w:rPr>
          <w:rFonts w:cs="Arial"/>
          <w:bCs/>
          <w:i/>
          <w:iCs/>
          <w:u w:val="single"/>
        </w:rPr>
        <w:t>:</w:t>
      </w:r>
      <w:r w:rsidRPr="005A2DCF">
        <w:rPr>
          <w:rFonts w:cs="Arial"/>
          <w:bCs/>
          <w:i/>
          <w:iCs/>
        </w:rPr>
        <w:t xml:space="preserve"> </w:t>
      </w:r>
      <w:r>
        <w:rPr>
          <w:rFonts w:cs="Arial"/>
          <w:bCs/>
          <w:i/>
          <w:iCs/>
        </w:rPr>
        <w:t xml:space="preserve">In </w:t>
      </w:r>
      <w:r w:rsidR="00133A8D">
        <w:rPr>
          <w:rFonts w:cs="Arial"/>
          <w:bCs/>
          <w:i/>
          <w:iCs/>
        </w:rPr>
        <w:t>R</w:t>
      </w:r>
      <w:r>
        <w:rPr>
          <w:rFonts w:cs="Arial"/>
          <w:bCs/>
          <w:i/>
          <w:iCs/>
        </w:rPr>
        <w:t>el-20, only network triggered mobility based on AIML is considered. Thus, the risk of RLF/HOF due to incorrect measurement prediction is very low because:</w:t>
      </w:r>
    </w:p>
    <w:p w14:paraId="4EFC0BCE" w14:textId="77777777" w:rsidR="00A1706F" w:rsidRDefault="00A1706F" w:rsidP="00A1706F">
      <w:pPr>
        <w:pStyle w:val="ListParagraph"/>
        <w:numPr>
          <w:ilvl w:val="2"/>
          <w:numId w:val="51"/>
        </w:numPr>
        <w:tabs>
          <w:tab w:val="left" w:pos="1377"/>
        </w:tabs>
        <w:rPr>
          <w:rFonts w:cs="Arial"/>
          <w:bCs/>
          <w:i/>
          <w:iCs/>
        </w:rPr>
      </w:pPr>
      <w:r w:rsidRPr="009E6FDB">
        <w:rPr>
          <w:rFonts w:cs="Arial"/>
          <w:bCs/>
          <w:i/>
          <w:iCs/>
        </w:rPr>
        <w:t xml:space="preserve">the network is likely to receive the UAI indicating non-applicability </w:t>
      </w:r>
      <w:r>
        <w:rPr>
          <w:rFonts w:cs="Arial"/>
          <w:bCs/>
          <w:i/>
          <w:iCs/>
        </w:rPr>
        <w:t>before making a HO decision; and/or</w:t>
      </w:r>
    </w:p>
    <w:p w14:paraId="365DB55A" w14:textId="77777777" w:rsidR="00A1706F" w:rsidRPr="009E6FDB" w:rsidRDefault="00A1706F" w:rsidP="00A1706F">
      <w:pPr>
        <w:pStyle w:val="ListParagraph"/>
        <w:numPr>
          <w:ilvl w:val="2"/>
          <w:numId w:val="51"/>
        </w:numPr>
        <w:tabs>
          <w:tab w:val="left" w:pos="1377"/>
        </w:tabs>
      </w:pPr>
      <w:r>
        <w:rPr>
          <w:rFonts w:cs="Arial"/>
          <w:bCs/>
          <w:i/>
          <w:iCs/>
        </w:rPr>
        <w:t>few incorrect samples will not drastically change filtered predicted measurements (and/or the inputs to the model are measurements and/or predictions that are L3 filtered)</w:t>
      </w:r>
    </w:p>
    <w:p w14:paraId="7F5901F2" w14:textId="77777777" w:rsidR="00A1706F" w:rsidRDefault="00A1706F" w:rsidP="00A1706F">
      <w:pPr>
        <w:tabs>
          <w:tab w:val="left" w:pos="1377"/>
        </w:tabs>
        <w:ind w:left="1354" w:hanging="1354"/>
        <w:jc w:val="left"/>
        <w:rPr>
          <w:rFonts w:cs="Arial"/>
          <w:b/>
          <w:u w:val="single"/>
        </w:rPr>
      </w:pPr>
    </w:p>
    <w:p w14:paraId="6E63C97F" w14:textId="7B0EBC41" w:rsidR="00A1706F" w:rsidRDefault="00A1706F" w:rsidP="00A1706F">
      <w:pPr>
        <w:tabs>
          <w:tab w:val="left" w:pos="1377"/>
        </w:tabs>
        <w:ind w:left="1354" w:hanging="1354"/>
        <w:jc w:val="left"/>
        <w:rPr>
          <w:rFonts w:cs="Arial"/>
          <w:bCs/>
          <w:i/>
          <w:iCs/>
        </w:rPr>
      </w:pPr>
      <w:r w:rsidRPr="008F08F1">
        <w:rPr>
          <w:rFonts w:cs="Arial"/>
          <w:b/>
          <w:u w:val="single"/>
        </w:rPr>
        <w:t xml:space="preserve">Observation </w:t>
      </w:r>
      <w:r>
        <w:rPr>
          <w:rFonts w:cs="Arial"/>
          <w:b/>
          <w:u w:val="single"/>
        </w:rPr>
        <w:t>4</w:t>
      </w:r>
      <w:r w:rsidRPr="008F08F1">
        <w:rPr>
          <w:rFonts w:cs="Arial"/>
          <w:bCs/>
          <w:i/>
          <w:iCs/>
          <w:u w:val="single"/>
        </w:rPr>
        <w:t>:</w:t>
      </w:r>
      <w:r w:rsidRPr="005A2DCF">
        <w:rPr>
          <w:rFonts w:cs="Arial"/>
          <w:bCs/>
          <w:i/>
          <w:iCs/>
        </w:rPr>
        <w:t xml:space="preserve"> </w:t>
      </w:r>
      <w:r>
        <w:rPr>
          <w:rFonts w:cs="Arial"/>
          <w:bCs/>
          <w:i/>
          <w:iCs/>
        </w:rPr>
        <w:t>For RRM measurement prediction, autonomous fallback to legacy when an AIML inference configuration becomes non-applicable may not be possible in some cases (e.g., inter-frequency measurement prediction).</w:t>
      </w:r>
    </w:p>
    <w:p w14:paraId="7B6CD18C" w14:textId="77777777" w:rsidR="00A1706F" w:rsidRDefault="00A1706F" w:rsidP="00A1706F">
      <w:pPr>
        <w:tabs>
          <w:tab w:val="left" w:pos="1377"/>
        </w:tabs>
        <w:ind w:left="1354" w:hanging="1354"/>
        <w:jc w:val="left"/>
        <w:rPr>
          <w:rFonts w:cs="Arial"/>
          <w:bCs/>
          <w:i/>
          <w:iCs/>
        </w:rPr>
      </w:pPr>
    </w:p>
    <w:p w14:paraId="3A980506" w14:textId="66624F98" w:rsidR="00A1706F" w:rsidRDefault="00A1706F" w:rsidP="00A1706F">
      <w:pPr>
        <w:tabs>
          <w:tab w:val="left" w:pos="1377"/>
        </w:tabs>
        <w:ind w:left="1170" w:hanging="1170"/>
        <w:jc w:val="left"/>
        <w:rPr>
          <w:rFonts w:cs="Arial"/>
          <w:b/>
          <w:i/>
          <w:iCs/>
        </w:rPr>
      </w:pPr>
      <w:r w:rsidRPr="00F50E1F">
        <w:rPr>
          <w:rFonts w:cs="Arial"/>
          <w:b/>
          <w:u w:val="single"/>
        </w:rPr>
        <w:t xml:space="preserve">Proposal </w:t>
      </w:r>
      <w:r>
        <w:rPr>
          <w:rFonts w:cs="Arial"/>
          <w:b/>
          <w:u w:val="single"/>
        </w:rPr>
        <w:t>2</w:t>
      </w:r>
      <w:r w:rsidRPr="00F50E1F">
        <w:rPr>
          <w:rFonts w:cs="Arial"/>
          <w:b/>
          <w:u w:val="single"/>
        </w:rPr>
        <w:t>:</w:t>
      </w:r>
      <w:r w:rsidRPr="00F50E1F">
        <w:rPr>
          <w:rFonts w:cs="Arial"/>
          <w:b/>
        </w:rPr>
        <w:t xml:space="preserve"> </w:t>
      </w:r>
      <w:r w:rsidRPr="00F50E1F">
        <w:rPr>
          <w:rFonts w:cs="Arial"/>
          <w:b/>
          <w:i/>
          <w:iCs/>
        </w:rPr>
        <w:t xml:space="preserve">RAN2 to </w:t>
      </w:r>
      <w:r>
        <w:rPr>
          <w:rFonts w:cs="Arial"/>
          <w:b/>
          <w:i/>
          <w:iCs/>
        </w:rPr>
        <w:t xml:space="preserve">confirm that the UE </w:t>
      </w:r>
      <w:r w:rsidR="002F25F2">
        <w:rPr>
          <w:rFonts w:cs="Arial"/>
          <w:b/>
          <w:i/>
          <w:iCs/>
        </w:rPr>
        <w:t>shall</w:t>
      </w:r>
      <w:r>
        <w:rPr>
          <w:rFonts w:cs="Arial"/>
          <w:b/>
          <w:i/>
          <w:iCs/>
        </w:rPr>
        <w:t xml:space="preserve"> not autonomously release an RRM measurement prediction inference configuration when the configuration becomes non-applicable (i.e., release is performed only upon explicit indication from the network). </w:t>
      </w:r>
    </w:p>
    <w:p w14:paraId="2FEB90DA" w14:textId="4CBB791F" w:rsidR="00A1706F" w:rsidRDefault="00A1706F" w:rsidP="00A1706F">
      <w:pPr>
        <w:tabs>
          <w:tab w:val="left" w:pos="1377"/>
        </w:tabs>
        <w:ind w:left="1170" w:hanging="1170"/>
        <w:jc w:val="left"/>
        <w:rPr>
          <w:rFonts w:cs="Arial"/>
          <w:b/>
          <w:i/>
          <w:iCs/>
        </w:rPr>
      </w:pPr>
      <w:r w:rsidRPr="00F50E1F">
        <w:rPr>
          <w:rFonts w:cs="Arial"/>
          <w:b/>
          <w:u w:val="single"/>
        </w:rPr>
        <w:t xml:space="preserve">Proposal </w:t>
      </w:r>
      <w:r>
        <w:rPr>
          <w:rFonts w:cs="Arial"/>
          <w:b/>
          <w:u w:val="single"/>
        </w:rPr>
        <w:t>3</w:t>
      </w:r>
      <w:r w:rsidRPr="00F50E1F">
        <w:rPr>
          <w:rFonts w:cs="Arial"/>
          <w:b/>
          <w:u w:val="single"/>
        </w:rPr>
        <w:t>:</w:t>
      </w:r>
      <w:r w:rsidRPr="00F50E1F">
        <w:rPr>
          <w:rFonts w:cs="Arial"/>
          <w:b/>
        </w:rPr>
        <w:t xml:space="preserve"> </w:t>
      </w:r>
      <w:r w:rsidRPr="00F50E1F">
        <w:rPr>
          <w:rFonts w:cs="Arial"/>
          <w:b/>
          <w:i/>
          <w:iCs/>
        </w:rPr>
        <w:t xml:space="preserve">RAN2 to </w:t>
      </w:r>
      <w:r>
        <w:rPr>
          <w:rFonts w:cs="Arial"/>
          <w:b/>
          <w:i/>
          <w:iCs/>
        </w:rPr>
        <w:t xml:space="preserve">confirm that the UE continues to </w:t>
      </w:r>
      <w:r w:rsidR="00ED08A8">
        <w:rPr>
          <w:rFonts w:cs="Arial"/>
          <w:b/>
          <w:i/>
          <w:iCs/>
        </w:rPr>
        <w:t>pe</w:t>
      </w:r>
      <w:r w:rsidR="004B4CBC">
        <w:rPr>
          <w:rFonts w:cs="Arial"/>
          <w:b/>
          <w:i/>
          <w:iCs/>
        </w:rPr>
        <w:t>r</w:t>
      </w:r>
      <w:r w:rsidR="00ED08A8">
        <w:rPr>
          <w:rFonts w:cs="Arial"/>
          <w:b/>
          <w:i/>
          <w:iCs/>
        </w:rPr>
        <w:t>form</w:t>
      </w:r>
      <w:r>
        <w:rPr>
          <w:rFonts w:cs="Arial"/>
          <w:b/>
          <w:i/>
          <w:iCs/>
        </w:rPr>
        <w:t xml:space="preserve"> the inference based on a non-applicable RRM measurement prediction configuration until explicit release/deactivation from the network. </w:t>
      </w:r>
    </w:p>
    <w:p w14:paraId="6312EBC3" w14:textId="77777777" w:rsidR="00A1706F" w:rsidRPr="00F50E1F" w:rsidRDefault="00A1706F" w:rsidP="00C15AF1">
      <w:pPr>
        <w:tabs>
          <w:tab w:val="left" w:pos="1377"/>
        </w:tabs>
        <w:ind w:left="1170" w:hanging="1170"/>
        <w:jc w:val="left"/>
        <w:rPr>
          <w:rFonts w:cs="Arial"/>
          <w:b/>
          <w:i/>
          <w:iCs/>
        </w:rPr>
      </w:pPr>
    </w:p>
    <w:p w14:paraId="736B5973" w14:textId="55523954" w:rsidR="00C2768E" w:rsidRPr="00F50E1F" w:rsidRDefault="00CA78DD" w:rsidP="009E6FDB">
      <w:pPr>
        <w:jc w:val="left"/>
        <w:rPr>
          <w:highlight w:val="lightGray"/>
        </w:rPr>
      </w:pPr>
      <w:r w:rsidRPr="00F50E1F">
        <w:rPr>
          <w:highlight w:val="lightGray"/>
        </w:rPr>
        <w:t>[</w:t>
      </w:r>
      <w:r w:rsidR="00C2768E" w:rsidRPr="00F50E1F">
        <w:rPr>
          <w:highlight w:val="lightGray"/>
        </w:rPr>
        <w:t>UE Capability</w:t>
      </w:r>
      <w:r w:rsidRPr="00F50E1F">
        <w:rPr>
          <w:highlight w:val="lightGray"/>
        </w:rPr>
        <w:t>]</w:t>
      </w:r>
    </w:p>
    <w:p w14:paraId="348CB15E" w14:textId="1625471E" w:rsidR="00C2768E" w:rsidRPr="00F50E1F" w:rsidRDefault="00C2768E" w:rsidP="00C15AF1">
      <w:pPr>
        <w:tabs>
          <w:tab w:val="left" w:pos="1377"/>
        </w:tabs>
        <w:ind w:left="1170" w:hanging="1170"/>
        <w:jc w:val="left"/>
        <w:rPr>
          <w:i/>
          <w:iCs/>
        </w:rPr>
      </w:pPr>
      <w:r w:rsidRPr="00F50E1F">
        <w:rPr>
          <w:rFonts w:cs="Arial"/>
          <w:b/>
          <w:u w:val="single"/>
        </w:rPr>
        <w:t xml:space="preserve">Proposal </w:t>
      </w:r>
      <w:r w:rsidR="00E42028">
        <w:rPr>
          <w:rFonts w:cs="Arial"/>
          <w:b/>
          <w:u w:val="single"/>
        </w:rPr>
        <w:t>4</w:t>
      </w:r>
      <w:r w:rsidRPr="00F50E1F">
        <w:rPr>
          <w:rFonts w:cs="Arial"/>
          <w:b/>
          <w:u w:val="single"/>
        </w:rPr>
        <w:t>:</w:t>
      </w:r>
      <w:r w:rsidRPr="00F50E1F">
        <w:rPr>
          <w:rFonts w:cs="Arial"/>
          <w:b/>
        </w:rPr>
        <w:t xml:space="preserve"> </w:t>
      </w:r>
      <w:r w:rsidRPr="00F50E1F">
        <w:rPr>
          <w:rFonts w:cs="Arial"/>
          <w:b/>
          <w:i/>
          <w:iCs/>
        </w:rPr>
        <w:t xml:space="preserve">RAN2 to introduce capability for RRM measurement prediction at least at a granularity of intra-frequency temporal domain case A, temporal domain case B, and inter-frequency prediction. </w:t>
      </w:r>
    </w:p>
    <w:p w14:paraId="47A0C066" w14:textId="77777777" w:rsidR="00402953" w:rsidRPr="00F50E1F" w:rsidRDefault="00402953" w:rsidP="009E6FDB">
      <w:pPr>
        <w:jc w:val="left"/>
        <w:rPr>
          <w:highlight w:val="lightGray"/>
        </w:rPr>
      </w:pPr>
    </w:p>
    <w:p w14:paraId="147D3F8A" w14:textId="7871FA6B" w:rsidR="00C2768E" w:rsidRPr="00F50E1F" w:rsidRDefault="0028322A" w:rsidP="009E6FDB">
      <w:pPr>
        <w:jc w:val="left"/>
        <w:rPr>
          <w:highlight w:val="lightGray"/>
        </w:rPr>
      </w:pPr>
      <w:r w:rsidRPr="00F50E1F">
        <w:rPr>
          <w:highlight w:val="lightGray"/>
        </w:rPr>
        <w:t>[</w:t>
      </w:r>
      <w:r w:rsidR="00C2768E" w:rsidRPr="00F50E1F">
        <w:rPr>
          <w:highlight w:val="lightGray"/>
        </w:rPr>
        <w:t>Inference configuration/reporting</w:t>
      </w:r>
      <w:r w:rsidRPr="00F50E1F">
        <w:rPr>
          <w:highlight w:val="lightGray"/>
        </w:rPr>
        <w:t>]</w:t>
      </w:r>
    </w:p>
    <w:p w14:paraId="7283D5FF" w14:textId="0E7E1AD9" w:rsidR="00C2768E" w:rsidRPr="00F50E1F" w:rsidRDefault="00C2768E" w:rsidP="00C15AF1">
      <w:pPr>
        <w:tabs>
          <w:tab w:val="left" w:pos="1377"/>
        </w:tabs>
        <w:ind w:left="1354" w:hanging="1354"/>
        <w:jc w:val="left"/>
        <w:rPr>
          <w:rFonts w:cs="Arial"/>
          <w:bCs/>
          <w:i/>
          <w:iCs/>
        </w:rPr>
      </w:pPr>
      <w:r w:rsidRPr="00F55220">
        <w:rPr>
          <w:rFonts w:cs="Arial"/>
          <w:b/>
          <w:u w:val="single"/>
        </w:rPr>
        <w:t xml:space="preserve">Observation </w:t>
      </w:r>
      <w:r w:rsidR="00E42028" w:rsidRPr="00F55220">
        <w:rPr>
          <w:rFonts w:cs="Arial"/>
          <w:b/>
          <w:u w:val="single"/>
        </w:rPr>
        <w:t>5</w:t>
      </w:r>
      <w:r w:rsidRPr="00F55220">
        <w:rPr>
          <w:rFonts w:cs="Arial"/>
          <w:b/>
          <w:u w:val="single"/>
        </w:rPr>
        <w:t>:</w:t>
      </w:r>
      <w:r w:rsidRPr="00F50E1F">
        <w:rPr>
          <w:rFonts w:cs="Arial"/>
          <w:bCs/>
          <w:i/>
          <w:iCs/>
        </w:rPr>
        <w:t xml:space="preserve"> Except for aspects like spatial prediction that are not within the scope of the </w:t>
      </w:r>
      <w:r w:rsidR="00133A8D">
        <w:rPr>
          <w:rFonts w:cs="Arial"/>
          <w:bCs/>
          <w:i/>
          <w:iCs/>
        </w:rPr>
        <w:t>R</w:t>
      </w:r>
      <w:r w:rsidRPr="00F50E1F">
        <w:rPr>
          <w:rFonts w:cs="Arial"/>
          <w:bCs/>
          <w:i/>
          <w:iCs/>
        </w:rPr>
        <w:t xml:space="preserve">el-20 WID, most of the agreements that are captured in TR 38.744 for inference configuration/reporting of RRM measurement prediction can already be confirmed in RAN2. </w:t>
      </w:r>
    </w:p>
    <w:p w14:paraId="75DDD007" w14:textId="77777777" w:rsidR="006869B9" w:rsidRDefault="006869B9" w:rsidP="006869B9">
      <w:pPr>
        <w:tabs>
          <w:tab w:val="left" w:pos="1377"/>
        </w:tabs>
        <w:ind w:left="1170" w:hanging="1170"/>
        <w:jc w:val="left"/>
        <w:rPr>
          <w:rFonts w:cs="Arial"/>
          <w:b/>
          <w:i/>
          <w:iCs/>
        </w:rPr>
      </w:pPr>
      <w:r w:rsidRPr="00F50E1F">
        <w:rPr>
          <w:rFonts w:cs="Arial"/>
          <w:b/>
          <w:u w:val="single"/>
        </w:rPr>
        <w:t xml:space="preserve">Proposal </w:t>
      </w:r>
      <w:r>
        <w:rPr>
          <w:rFonts w:cs="Arial"/>
          <w:b/>
          <w:u w:val="single"/>
        </w:rPr>
        <w:t>5</w:t>
      </w:r>
      <w:r w:rsidRPr="00F50E1F">
        <w:rPr>
          <w:rFonts w:cs="Arial"/>
          <w:b/>
          <w:u w:val="single"/>
        </w:rPr>
        <w:t>:</w:t>
      </w:r>
      <w:r w:rsidRPr="00F50E1F">
        <w:rPr>
          <w:rFonts w:cs="Arial"/>
          <w:b/>
          <w:i/>
          <w:iCs/>
        </w:rPr>
        <w:t xml:space="preserve"> RAN2 to confirm that the RRM measurement configuration and reporting framework in RRC layer is the baseline for inference configuration and reporting for all sub use cases of RRM measurement prediction. </w:t>
      </w:r>
    </w:p>
    <w:p w14:paraId="59829939" w14:textId="77777777" w:rsidR="006869B9" w:rsidRPr="00F50E1F" w:rsidRDefault="006869B9" w:rsidP="006869B9">
      <w:pPr>
        <w:tabs>
          <w:tab w:val="left" w:pos="1377"/>
        </w:tabs>
        <w:ind w:left="1170" w:hanging="1170"/>
        <w:jc w:val="left"/>
        <w:rPr>
          <w:rFonts w:cs="Arial"/>
          <w:b/>
          <w:i/>
          <w:iCs/>
        </w:rPr>
      </w:pPr>
    </w:p>
    <w:p w14:paraId="023D0324" w14:textId="77777777" w:rsidR="006869B9" w:rsidRPr="00F50E1F" w:rsidRDefault="006869B9" w:rsidP="006869B9">
      <w:pPr>
        <w:tabs>
          <w:tab w:val="left" w:pos="1377"/>
        </w:tabs>
        <w:ind w:left="1170" w:hanging="1170"/>
        <w:jc w:val="left"/>
        <w:rPr>
          <w:rFonts w:cs="Arial"/>
          <w:b/>
          <w:i/>
          <w:iCs/>
        </w:rPr>
      </w:pPr>
      <w:r w:rsidRPr="00F50E1F">
        <w:rPr>
          <w:rFonts w:cs="Arial"/>
          <w:b/>
          <w:u w:val="single"/>
        </w:rPr>
        <w:lastRenderedPageBreak/>
        <w:t xml:space="preserve">Proposal </w:t>
      </w:r>
      <w:r>
        <w:rPr>
          <w:rFonts w:cs="Arial"/>
          <w:b/>
          <w:u w:val="single"/>
        </w:rPr>
        <w:t>6</w:t>
      </w:r>
      <w:r w:rsidRPr="00F50E1F">
        <w:rPr>
          <w:rFonts w:cs="Arial"/>
          <w:b/>
          <w:u w:val="single"/>
        </w:rPr>
        <w:t>:</w:t>
      </w:r>
      <w:r w:rsidRPr="00F50E1F">
        <w:rPr>
          <w:rFonts w:cs="Arial"/>
          <w:b/>
          <w:i/>
          <w:iCs/>
        </w:rPr>
        <w:t xml:space="preserve"> RAN2 to confirm that the UE can be configured with the following regarding RRM measurement </w:t>
      </w:r>
      <w:r>
        <w:rPr>
          <w:rFonts w:cs="Arial"/>
          <w:b/>
          <w:i/>
          <w:iCs/>
        </w:rPr>
        <w:t xml:space="preserve">prediction/reporting </w:t>
      </w:r>
      <w:r w:rsidRPr="00F50E1F">
        <w:rPr>
          <w:rFonts w:cs="Arial"/>
          <w:b/>
          <w:i/>
          <w:iCs/>
        </w:rPr>
        <w:t>for temporal case A:</w:t>
      </w:r>
    </w:p>
    <w:p w14:paraId="79AE30F9" w14:textId="77777777" w:rsidR="006869B9" w:rsidRPr="00F50E1F" w:rsidRDefault="006869B9" w:rsidP="006869B9">
      <w:pPr>
        <w:pStyle w:val="ListParagraph"/>
        <w:numPr>
          <w:ilvl w:val="0"/>
          <w:numId w:val="41"/>
        </w:numPr>
        <w:tabs>
          <w:tab w:val="left" w:pos="1377"/>
        </w:tabs>
        <w:overflowPunct w:val="0"/>
        <w:autoSpaceDE w:val="0"/>
        <w:autoSpaceDN w:val="0"/>
        <w:adjustRightInd w:val="0"/>
        <w:spacing w:after="120"/>
        <w:textAlignment w:val="baseline"/>
        <w:rPr>
          <w:rFonts w:cs="Arial"/>
          <w:b/>
          <w:i/>
          <w:iCs/>
          <w:lang w:val="en-GB"/>
        </w:rPr>
      </w:pPr>
      <w:r w:rsidRPr="00F50E1F">
        <w:rPr>
          <w:rFonts w:cs="Arial"/>
          <w:b/>
          <w:i/>
          <w:iCs/>
          <w:lang w:val="en-GB"/>
        </w:rPr>
        <w:t>Prediction window length</w:t>
      </w:r>
    </w:p>
    <w:p w14:paraId="2A99C9CE" w14:textId="77777777" w:rsidR="006869B9" w:rsidRDefault="006869B9" w:rsidP="006869B9">
      <w:pPr>
        <w:pStyle w:val="ListParagraph"/>
        <w:numPr>
          <w:ilvl w:val="0"/>
          <w:numId w:val="41"/>
        </w:numPr>
        <w:tabs>
          <w:tab w:val="left" w:pos="1377"/>
        </w:tabs>
        <w:overflowPunct w:val="0"/>
        <w:autoSpaceDE w:val="0"/>
        <w:autoSpaceDN w:val="0"/>
        <w:adjustRightInd w:val="0"/>
        <w:spacing w:after="120"/>
        <w:textAlignment w:val="baseline"/>
        <w:rPr>
          <w:rFonts w:cs="Arial"/>
          <w:b/>
          <w:i/>
          <w:iCs/>
          <w:lang w:val="en-GB"/>
        </w:rPr>
      </w:pPr>
      <w:r w:rsidRPr="00F50E1F">
        <w:rPr>
          <w:rFonts w:cs="Arial"/>
          <w:b/>
          <w:i/>
          <w:iCs/>
          <w:lang w:val="en-GB"/>
        </w:rPr>
        <w:t>(optional) list of cells for which network expects inference report and their corresponding associated IDs</w:t>
      </w:r>
    </w:p>
    <w:p w14:paraId="68DFAC4A" w14:textId="77777777" w:rsidR="006869B9" w:rsidRPr="00F50E1F" w:rsidRDefault="006869B9" w:rsidP="006869B9">
      <w:pPr>
        <w:pStyle w:val="ListParagraph"/>
        <w:tabs>
          <w:tab w:val="left" w:pos="1377"/>
        </w:tabs>
        <w:overflowPunct w:val="0"/>
        <w:autoSpaceDE w:val="0"/>
        <w:autoSpaceDN w:val="0"/>
        <w:adjustRightInd w:val="0"/>
        <w:spacing w:after="120"/>
        <w:ind w:left="1080"/>
        <w:textAlignment w:val="baseline"/>
        <w:rPr>
          <w:rFonts w:cs="Arial"/>
          <w:b/>
          <w:i/>
          <w:iCs/>
          <w:lang w:val="en-GB"/>
        </w:rPr>
      </w:pPr>
    </w:p>
    <w:p w14:paraId="67E18585" w14:textId="77777777" w:rsidR="006869B9" w:rsidRPr="00F50E1F" w:rsidRDefault="006869B9" w:rsidP="006869B9">
      <w:pPr>
        <w:tabs>
          <w:tab w:val="left" w:pos="1377"/>
        </w:tabs>
        <w:ind w:left="1170" w:hanging="1170"/>
        <w:jc w:val="left"/>
        <w:rPr>
          <w:rFonts w:cs="Arial"/>
          <w:b/>
          <w:i/>
          <w:iCs/>
        </w:rPr>
      </w:pPr>
      <w:r w:rsidRPr="00F50E1F">
        <w:rPr>
          <w:rFonts w:cs="Arial"/>
          <w:b/>
          <w:u w:val="single"/>
        </w:rPr>
        <w:t xml:space="preserve">Proposal </w:t>
      </w:r>
      <w:r>
        <w:rPr>
          <w:rFonts w:cs="Arial"/>
          <w:b/>
          <w:u w:val="single"/>
        </w:rPr>
        <w:t>7</w:t>
      </w:r>
      <w:r w:rsidRPr="00F50E1F">
        <w:rPr>
          <w:rFonts w:cs="Arial"/>
          <w:b/>
          <w:u w:val="single"/>
        </w:rPr>
        <w:t>:</w:t>
      </w:r>
      <w:r w:rsidRPr="00F50E1F">
        <w:rPr>
          <w:rFonts w:cs="Arial"/>
          <w:b/>
          <w:i/>
          <w:iCs/>
        </w:rPr>
        <w:t xml:space="preserve"> RAN2 to confirm that the UE can be configured with the following regarding RRM measurement </w:t>
      </w:r>
      <w:r>
        <w:rPr>
          <w:rFonts w:cs="Arial"/>
          <w:b/>
          <w:i/>
          <w:iCs/>
        </w:rPr>
        <w:t>prediction</w:t>
      </w:r>
      <w:r w:rsidRPr="00F50E1F">
        <w:rPr>
          <w:rFonts w:cs="Arial"/>
          <w:b/>
          <w:i/>
          <w:iCs/>
        </w:rPr>
        <w:t>/reporting for temporal case B:</w:t>
      </w:r>
    </w:p>
    <w:p w14:paraId="51CC3C12" w14:textId="77777777" w:rsidR="006869B9" w:rsidRPr="00F50E1F" w:rsidRDefault="006869B9" w:rsidP="006869B9">
      <w:pPr>
        <w:pStyle w:val="ListParagraph"/>
        <w:numPr>
          <w:ilvl w:val="0"/>
          <w:numId w:val="41"/>
        </w:numPr>
        <w:tabs>
          <w:tab w:val="left" w:pos="1377"/>
        </w:tabs>
        <w:overflowPunct w:val="0"/>
        <w:autoSpaceDE w:val="0"/>
        <w:autoSpaceDN w:val="0"/>
        <w:adjustRightInd w:val="0"/>
        <w:spacing w:after="120"/>
        <w:textAlignment w:val="baseline"/>
        <w:rPr>
          <w:rFonts w:cs="Arial"/>
          <w:b/>
          <w:bCs/>
          <w:i/>
          <w:iCs/>
          <w:lang w:val="en-GB"/>
        </w:rPr>
      </w:pPr>
      <w:r w:rsidRPr="00F50E1F">
        <w:rPr>
          <w:b/>
          <w:bCs/>
          <w:i/>
          <w:iCs/>
          <w:lang w:val="en-GB"/>
        </w:rPr>
        <w:t xml:space="preserve">the timing of </w:t>
      </w:r>
      <w:r w:rsidRPr="00F50E1F">
        <w:rPr>
          <w:rFonts w:hint="eastAsia"/>
          <w:b/>
          <w:bCs/>
          <w:i/>
          <w:iCs/>
          <w:lang w:val="en-GB"/>
        </w:rPr>
        <w:t>network</w:t>
      </w:r>
      <w:r w:rsidRPr="00F50E1F">
        <w:rPr>
          <w:b/>
          <w:bCs/>
          <w:i/>
          <w:iCs/>
          <w:lang w:val="en-GB"/>
        </w:rPr>
        <w:t xml:space="preserve">’s SSB </w:t>
      </w:r>
      <w:r w:rsidRPr="00F50E1F">
        <w:rPr>
          <w:rFonts w:hint="eastAsia"/>
          <w:b/>
          <w:bCs/>
          <w:i/>
          <w:iCs/>
          <w:lang w:val="en-GB"/>
        </w:rPr>
        <w:t>configuration</w:t>
      </w:r>
    </w:p>
    <w:p w14:paraId="232968F0" w14:textId="77777777" w:rsidR="006869B9" w:rsidRDefault="006869B9" w:rsidP="006869B9">
      <w:pPr>
        <w:pStyle w:val="ListParagraph"/>
        <w:numPr>
          <w:ilvl w:val="0"/>
          <w:numId w:val="41"/>
        </w:numPr>
        <w:tabs>
          <w:tab w:val="left" w:pos="1377"/>
        </w:tabs>
        <w:overflowPunct w:val="0"/>
        <w:autoSpaceDE w:val="0"/>
        <w:autoSpaceDN w:val="0"/>
        <w:adjustRightInd w:val="0"/>
        <w:spacing w:after="120"/>
        <w:textAlignment w:val="baseline"/>
        <w:rPr>
          <w:rFonts w:cs="Arial"/>
          <w:b/>
          <w:i/>
          <w:iCs/>
          <w:lang w:val="en-GB"/>
        </w:rPr>
      </w:pPr>
      <w:r w:rsidRPr="00F50E1F">
        <w:rPr>
          <w:rFonts w:cs="Arial"/>
          <w:b/>
          <w:i/>
          <w:iCs/>
          <w:lang w:val="en-GB"/>
        </w:rPr>
        <w:t>(optional) list of cells for which network expects inference report and their corresponding associated IDs</w:t>
      </w:r>
    </w:p>
    <w:p w14:paraId="06AB9655" w14:textId="77777777" w:rsidR="006869B9" w:rsidRPr="00F50E1F" w:rsidRDefault="006869B9" w:rsidP="006869B9">
      <w:pPr>
        <w:pStyle w:val="ListParagraph"/>
        <w:tabs>
          <w:tab w:val="left" w:pos="1377"/>
        </w:tabs>
        <w:overflowPunct w:val="0"/>
        <w:autoSpaceDE w:val="0"/>
        <w:autoSpaceDN w:val="0"/>
        <w:adjustRightInd w:val="0"/>
        <w:spacing w:after="120"/>
        <w:ind w:left="1080"/>
        <w:textAlignment w:val="baseline"/>
        <w:rPr>
          <w:rFonts w:cs="Arial"/>
          <w:b/>
          <w:i/>
          <w:iCs/>
          <w:lang w:val="en-GB"/>
        </w:rPr>
      </w:pPr>
    </w:p>
    <w:p w14:paraId="7FB2F7DE" w14:textId="77777777" w:rsidR="006869B9" w:rsidRPr="00F50E1F" w:rsidRDefault="006869B9" w:rsidP="006869B9">
      <w:pPr>
        <w:tabs>
          <w:tab w:val="left" w:pos="1377"/>
        </w:tabs>
        <w:ind w:left="1170" w:hanging="1170"/>
        <w:jc w:val="left"/>
        <w:rPr>
          <w:rFonts w:cs="Arial"/>
          <w:b/>
          <w:i/>
          <w:iCs/>
        </w:rPr>
      </w:pPr>
      <w:r w:rsidRPr="00F50E1F">
        <w:rPr>
          <w:rFonts w:cs="Arial"/>
          <w:b/>
          <w:u w:val="single"/>
        </w:rPr>
        <w:t xml:space="preserve">Proposal </w:t>
      </w:r>
      <w:r>
        <w:rPr>
          <w:rFonts w:cs="Arial"/>
          <w:b/>
          <w:u w:val="single"/>
        </w:rPr>
        <w:t>8</w:t>
      </w:r>
      <w:r w:rsidRPr="00F50E1F">
        <w:rPr>
          <w:rFonts w:cs="Arial"/>
          <w:b/>
          <w:u w:val="single"/>
        </w:rPr>
        <w:t>:</w:t>
      </w:r>
      <w:r w:rsidRPr="00F50E1F">
        <w:rPr>
          <w:rFonts w:cs="Arial"/>
          <w:b/>
          <w:i/>
          <w:iCs/>
        </w:rPr>
        <w:t xml:space="preserve"> RAN2 to confirm that the UE can be configured with the following regarding RRM measurement </w:t>
      </w:r>
      <w:r>
        <w:rPr>
          <w:rFonts w:cs="Arial"/>
          <w:b/>
          <w:i/>
          <w:iCs/>
        </w:rPr>
        <w:t>prediction</w:t>
      </w:r>
      <w:r w:rsidRPr="00F50E1F">
        <w:rPr>
          <w:rFonts w:cs="Arial"/>
          <w:b/>
          <w:i/>
          <w:iCs/>
        </w:rPr>
        <w:t>/reporting for inter-frequency prediction:</w:t>
      </w:r>
    </w:p>
    <w:p w14:paraId="0FDBFA4F" w14:textId="77777777" w:rsidR="006869B9" w:rsidRPr="00F50E1F" w:rsidRDefault="006869B9" w:rsidP="006869B9">
      <w:pPr>
        <w:pStyle w:val="ListParagraph"/>
        <w:numPr>
          <w:ilvl w:val="0"/>
          <w:numId w:val="41"/>
        </w:numPr>
        <w:tabs>
          <w:tab w:val="left" w:pos="1377"/>
        </w:tabs>
        <w:overflowPunct w:val="0"/>
        <w:autoSpaceDE w:val="0"/>
        <w:autoSpaceDN w:val="0"/>
        <w:adjustRightInd w:val="0"/>
        <w:spacing w:after="120"/>
        <w:textAlignment w:val="baseline"/>
        <w:rPr>
          <w:rFonts w:cs="Arial"/>
          <w:b/>
          <w:i/>
          <w:iCs/>
          <w:lang w:val="en-GB"/>
        </w:rPr>
      </w:pPr>
      <w:r w:rsidRPr="00F50E1F">
        <w:rPr>
          <w:rFonts w:cs="Arial"/>
          <w:b/>
          <w:i/>
          <w:iCs/>
          <w:lang w:val="en-GB"/>
        </w:rPr>
        <w:t>Measured frequency carrier and predicted frequency carrier information for inter-frequency prediction</w:t>
      </w:r>
    </w:p>
    <w:p w14:paraId="051E6984" w14:textId="77777777" w:rsidR="006869B9" w:rsidRPr="00F50E1F" w:rsidRDefault="006869B9" w:rsidP="006869B9">
      <w:pPr>
        <w:pStyle w:val="ListParagraph"/>
        <w:numPr>
          <w:ilvl w:val="0"/>
          <w:numId w:val="41"/>
        </w:numPr>
        <w:tabs>
          <w:tab w:val="left" w:pos="1377"/>
        </w:tabs>
        <w:overflowPunct w:val="0"/>
        <w:autoSpaceDE w:val="0"/>
        <w:autoSpaceDN w:val="0"/>
        <w:adjustRightInd w:val="0"/>
        <w:spacing w:after="120"/>
        <w:textAlignment w:val="baseline"/>
        <w:rPr>
          <w:rFonts w:cs="Arial"/>
          <w:b/>
          <w:i/>
          <w:iCs/>
          <w:lang w:val="en-GB"/>
        </w:rPr>
      </w:pPr>
      <w:r w:rsidRPr="00F50E1F">
        <w:rPr>
          <w:rFonts w:cs="Arial"/>
          <w:b/>
          <w:i/>
          <w:iCs/>
          <w:lang w:val="en-GB"/>
        </w:rPr>
        <w:t>(optional) list of cells for which network expects inference report and their corresponding associated IDs</w:t>
      </w:r>
    </w:p>
    <w:p w14:paraId="7AC2A4FF" w14:textId="77777777" w:rsidR="006869B9" w:rsidRPr="00F50E1F" w:rsidRDefault="006869B9" w:rsidP="006869B9">
      <w:pPr>
        <w:tabs>
          <w:tab w:val="left" w:pos="1377"/>
        </w:tabs>
        <w:ind w:left="1170" w:hanging="1170"/>
        <w:jc w:val="left"/>
        <w:rPr>
          <w:rFonts w:cs="Arial"/>
          <w:b/>
          <w:i/>
          <w:iCs/>
        </w:rPr>
      </w:pPr>
      <w:r w:rsidRPr="00F50E1F">
        <w:rPr>
          <w:rFonts w:cs="Arial"/>
          <w:b/>
          <w:u w:val="single"/>
        </w:rPr>
        <w:t xml:space="preserve">Proposal </w:t>
      </w:r>
      <w:r>
        <w:rPr>
          <w:rFonts w:cs="Arial"/>
          <w:b/>
          <w:u w:val="single"/>
        </w:rPr>
        <w:t>9</w:t>
      </w:r>
      <w:r w:rsidRPr="00F50E1F">
        <w:rPr>
          <w:rFonts w:cs="Arial"/>
          <w:b/>
          <w:u w:val="single"/>
        </w:rPr>
        <w:t>:</w:t>
      </w:r>
      <w:r w:rsidRPr="00F50E1F">
        <w:rPr>
          <w:rFonts w:cs="Arial"/>
          <w:b/>
          <w:i/>
          <w:iCs/>
        </w:rPr>
        <w:t xml:space="preserve"> RAN2 to confirm the following information to be included in the </w:t>
      </w:r>
      <w:r>
        <w:rPr>
          <w:rFonts w:cs="Arial"/>
          <w:b/>
          <w:i/>
          <w:iCs/>
        </w:rPr>
        <w:t xml:space="preserve">predicted </w:t>
      </w:r>
      <w:r w:rsidRPr="00F50E1F">
        <w:rPr>
          <w:rFonts w:cs="Arial"/>
          <w:b/>
          <w:i/>
          <w:iCs/>
        </w:rPr>
        <w:t>measurement report (for each reported cell):</w:t>
      </w:r>
    </w:p>
    <w:p w14:paraId="1840C5BF" w14:textId="77777777" w:rsidR="006869B9" w:rsidRPr="00F50E1F" w:rsidRDefault="006869B9" w:rsidP="006869B9">
      <w:pPr>
        <w:pStyle w:val="ListParagraph"/>
        <w:numPr>
          <w:ilvl w:val="0"/>
          <w:numId w:val="41"/>
        </w:numPr>
        <w:tabs>
          <w:tab w:val="left" w:pos="1377"/>
        </w:tabs>
        <w:overflowPunct w:val="0"/>
        <w:autoSpaceDE w:val="0"/>
        <w:autoSpaceDN w:val="0"/>
        <w:adjustRightInd w:val="0"/>
        <w:spacing w:after="120"/>
        <w:textAlignment w:val="baseline"/>
        <w:rPr>
          <w:rFonts w:cs="Arial"/>
          <w:b/>
          <w:i/>
          <w:iCs/>
          <w:lang w:val="en-GB"/>
        </w:rPr>
      </w:pPr>
      <w:r w:rsidRPr="00F50E1F">
        <w:rPr>
          <w:rFonts w:cs="Arial"/>
          <w:b/>
          <w:i/>
          <w:iCs/>
          <w:lang w:val="en-GB"/>
        </w:rPr>
        <w:t>For intra-frequency temporal domain case A, one or more instances of predicted measurement result(s) in PW can be reported</w:t>
      </w:r>
    </w:p>
    <w:p w14:paraId="07EEF4A6" w14:textId="77777777" w:rsidR="006869B9" w:rsidRPr="00F50E1F" w:rsidRDefault="006869B9" w:rsidP="006869B9">
      <w:pPr>
        <w:pStyle w:val="ListParagraph"/>
        <w:numPr>
          <w:ilvl w:val="0"/>
          <w:numId w:val="41"/>
        </w:numPr>
        <w:tabs>
          <w:tab w:val="left" w:pos="1377"/>
        </w:tabs>
        <w:overflowPunct w:val="0"/>
        <w:autoSpaceDE w:val="0"/>
        <w:autoSpaceDN w:val="0"/>
        <w:adjustRightInd w:val="0"/>
        <w:spacing w:after="120"/>
        <w:textAlignment w:val="baseline"/>
        <w:rPr>
          <w:rFonts w:cs="Arial"/>
          <w:b/>
          <w:i/>
          <w:iCs/>
          <w:lang w:val="en-GB"/>
        </w:rPr>
      </w:pPr>
      <w:r w:rsidRPr="00F50E1F">
        <w:rPr>
          <w:rFonts w:cs="Arial"/>
          <w:b/>
          <w:i/>
          <w:iCs/>
          <w:lang w:val="en-GB"/>
        </w:rPr>
        <w:t>For intra-frequency temporal domain case B, the latest actual or predicted measurement result can be reported</w:t>
      </w:r>
    </w:p>
    <w:p w14:paraId="752C49FC" w14:textId="77777777" w:rsidR="006869B9" w:rsidRPr="00F50E1F" w:rsidRDefault="006869B9" w:rsidP="006869B9">
      <w:pPr>
        <w:pStyle w:val="ListParagraph"/>
        <w:numPr>
          <w:ilvl w:val="0"/>
          <w:numId w:val="41"/>
        </w:numPr>
        <w:tabs>
          <w:tab w:val="left" w:pos="1377"/>
        </w:tabs>
        <w:overflowPunct w:val="0"/>
        <w:autoSpaceDE w:val="0"/>
        <w:autoSpaceDN w:val="0"/>
        <w:adjustRightInd w:val="0"/>
        <w:spacing w:after="120"/>
        <w:textAlignment w:val="baseline"/>
        <w:rPr>
          <w:rFonts w:cs="Arial"/>
          <w:b/>
          <w:i/>
          <w:iCs/>
          <w:lang w:val="en-GB"/>
        </w:rPr>
      </w:pPr>
      <w:r w:rsidRPr="00F50E1F">
        <w:rPr>
          <w:rFonts w:cs="Arial" w:hint="eastAsia"/>
          <w:b/>
          <w:i/>
          <w:iCs/>
          <w:lang w:val="en-GB"/>
        </w:rPr>
        <w:t xml:space="preserve">For inter-frequency prediction, the latest </w:t>
      </w:r>
      <w:r w:rsidRPr="00F50E1F">
        <w:rPr>
          <w:rFonts w:cs="Arial"/>
          <w:b/>
          <w:i/>
          <w:iCs/>
          <w:lang w:val="en-GB"/>
        </w:rPr>
        <w:t xml:space="preserve">predicted </w:t>
      </w:r>
      <w:r w:rsidRPr="00F50E1F">
        <w:rPr>
          <w:rFonts w:cs="Arial" w:hint="eastAsia"/>
          <w:b/>
          <w:i/>
          <w:iCs/>
          <w:lang w:val="en-GB"/>
        </w:rPr>
        <w:t>measurement result is reported.</w:t>
      </w:r>
    </w:p>
    <w:p w14:paraId="5D5D44B9" w14:textId="77777777" w:rsidR="00B84761" w:rsidRDefault="00B84761" w:rsidP="009E6FDB">
      <w:pPr>
        <w:jc w:val="left"/>
        <w:rPr>
          <w:highlight w:val="lightGray"/>
        </w:rPr>
      </w:pPr>
    </w:p>
    <w:p w14:paraId="0FEF2F72" w14:textId="2EBE80BB" w:rsidR="00C2768E" w:rsidRPr="00F50E1F" w:rsidRDefault="0028322A" w:rsidP="009E6FDB">
      <w:pPr>
        <w:jc w:val="left"/>
        <w:rPr>
          <w:highlight w:val="lightGray"/>
        </w:rPr>
      </w:pPr>
      <w:r w:rsidRPr="00F50E1F">
        <w:rPr>
          <w:highlight w:val="lightGray"/>
        </w:rPr>
        <w:t>[</w:t>
      </w:r>
      <w:r w:rsidR="00C2768E" w:rsidRPr="00F50E1F">
        <w:rPr>
          <w:highlight w:val="lightGray"/>
        </w:rPr>
        <w:t>Network side additional condition (associated IDs)</w:t>
      </w:r>
      <w:r w:rsidRPr="00F50E1F">
        <w:rPr>
          <w:highlight w:val="lightGray"/>
        </w:rPr>
        <w:t>]</w:t>
      </w:r>
    </w:p>
    <w:p w14:paraId="0A91471B" w14:textId="33E22356" w:rsidR="00C2768E" w:rsidRPr="00F50E1F" w:rsidRDefault="00C2768E" w:rsidP="00C15AF1">
      <w:pPr>
        <w:tabs>
          <w:tab w:val="left" w:pos="1377"/>
        </w:tabs>
        <w:ind w:left="1354" w:hanging="1354"/>
        <w:jc w:val="left"/>
        <w:rPr>
          <w:rFonts w:cs="Arial"/>
          <w:bCs/>
          <w:i/>
          <w:iCs/>
        </w:rPr>
      </w:pPr>
      <w:r w:rsidRPr="00F55220">
        <w:rPr>
          <w:rFonts w:cs="Arial"/>
          <w:b/>
          <w:u w:val="single"/>
        </w:rPr>
        <w:t xml:space="preserve">Observation </w:t>
      </w:r>
      <w:r w:rsidR="00F55220">
        <w:rPr>
          <w:rFonts w:cs="Arial"/>
          <w:b/>
          <w:u w:val="single"/>
        </w:rPr>
        <w:t>6</w:t>
      </w:r>
      <w:r w:rsidRPr="00F55220">
        <w:rPr>
          <w:rFonts w:cs="Arial"/>
          <w:b/>
          <w:u w:val="single"/>
        </w:rPr>
        <w:t>:</w:t>
      </w:r>
      <w:r w:rsidRPr="00F50E1F">
        <w:rPr>
          <w:rFonts w:cs="Arial"/>
          <w:bCs/>
          <w:i/>
          <w:iCs/>
        </w:rPr>
        <w:t xml:space="preserve"> The UE may need to be configured with multiple associated IDs for performing applicability determination for AIML mobility. </w:t>
      </w:r>
    </w:p>
    <w:p w14:paraId="0261972D" w14:textId="0E868D39" w:rsidR="00C2768E" w:rsidRPr="00F50E1F" w:rsidRDefault="00C2768E" w:rsidP="00C15AF1">
      <w:pPr>
        <w:tabs>
          <w:tab w:val="left" w:pos="1377"/>
        </w:tabs>
        <w:ind w:left="1354" w:hanging="1354"/>
        <w:jc w:val="left"/>
        <w:rPr>
          <w:rFonts w:cs="Arial"/>
          <w:bCs/>
          <w:i/>
          <w:iCs/>
        </w:rPr>
      </w:pPr>
      <w:r w:rsidRPr="00F55220">
        <w:rPr>
          <w:rFonts w:cs="Arial"/>
          <w:b/>
          <w:u w:val="single"/>
        </w:rPr>
        <w:t xml:space="preserve">Observation </w:t>
      </w:r>
      <w:r w:rsidR="00F55220" w:rsidRPr="00F55220">
        <w:rPr>
          <w:rFonts w:cs="Arial"/>
          <w:b/>
          <w:u w:val="single"/>
        </w:rPr>
        <w:t>7</w:t>
      </w:r>
      <w:r w:rsidRPr="00F55220">
        <w:rPr>
          <w:rFonts w:cs="Arial"/>
          <w:b/>
          <w:u w:val="single"/>
        </w:rPr>
        <w:t>:</w:t>
      </w:r>
      <w:r w:rsidRPr="00F50E1F">
        <w:rPr>
          <w:rFonts w:cs="Arial"/>
          <w:bCs/>
          <w:i/>
          <w:iCs/>
        </w:rPr>
        <w:t xml:space="preserve"> There may be cases in RRM measurement prediction where there is a partial match between the associated IDs of the input/output cells used during the training of the AIML model and the current associated IDs of the concerned cells. </w:t>
      </w:r>
    </w:p>
    <w:p w14:paraId="338EF0E8" w14:textId="7A709665" w:rsidR="00C2768E" w:rsidRPr="00F50E1F" w:rsidRDefault="00C2768E" w:rsidP="00C15AF1">
      <w:pPr>
        <w:tabs>
          <w:tab w:val="left" w:pos="1377"/>
        </w:tabs>
        <w:ind w:left="1170" w:hanging="1170"/>
        <w:jc w:val="left"/>
        <w:rPr>
          <w:rFonts w:cs="Arial"/>
          <w:b/>
          <w:i/>
          <w:iCs/>
        </w:rPr>
      </w:pPr>
      <w:r w:rsidRPr="00F50E1F">
        <w:rPr>
          <w:rFonts w:cs="Arial"/>
          <w:b/>
          <w:u w:val="single"/>
        </w:rPr>
        <w:t xml:space="preserve">Proposal </w:t>
      </w:r>
      <w:r w:rsidR="00A644F7">
        <w:rPr>
          <w:rFonts w:cs="Arial"/>
          <w:b/>
          <w:u w:val="single"/>
        </w:rPr>
        <w:t>10</w:t>
      </w:r>
      <w:r w:rsidRPr="00F50E1F">
        <w:rPr>
          <w:rFonts w:cs="Arial"/>
          <w:b/>
          <w:u w:val="single"/>
        </w:rPr>
        <w:t>:</w:t>
      </w:r>
      <w:r w:rsidRPr="00F50E1F">
        <w:rPr>
          <w:rFonts w:cs="Arial"/>
          <w:b/>
        </w:rPr>
        <w:t xml:space="preserve"> </w:t>
      </w:r>
      <w:r w:rsidRPr="00F50E1F">
        <w:rPr>
          <w:rFonts w:cs="Arial"/>
          <w:b/>
          <w:i/>
          <w:iCs/>
        </w:rPr>
        <w:t>For RRM measurement prediction, the UE may be provided with multiple associated IDs (e.g., corresponding to different serving/neighbo</w:t>
      </w:r>
      <w:r w:rsidR="00EB1252" w:rsidRPr="00F50E1F">
        <w:rPr>
          <w:rFonts w:cs="Arial"/>
          <w:b/>
          <w:i/>
          <w:iCs/>
        </w:rPr>
        <w:t>u</w:t>
      </w:r>
      <w:r w:rsidRPr="00F50E1F">
        <w:rPr>
          <w:rFonts w:cs="Arial"/>
          <w:b/>
          <w:i/>
          <w:iCs/>
        </w:rPr>
        <w:t xml:space="preserve">r cells being predicted). </w:t>
      </w:r>
    </w:p>
    <w:p w14:paraId="1CFA86EE" w14:textId="4CB9C163" w:rsidR="00C2768E" w:rsidRPr="00F50E1F" w:rsidRDefault="00C2768E" w:rsidP="00C15AF1">
      <w:pPr>
        <w:tabs>
          <w:tab w:val="left" w:pos="1377"/>
        </w:tabs>
        <w:ind w:left="1170" w:hanging="1170"/>
        <w:jc w:val="left"/>
        <w:rPr>
          <w:rFonts w:cs="Arial"/>
          <w:b/>
          <w:i/>
          <w:iCs/>
        </w:rPr>
      </w:pPr>
      <w:r w:rsidRPr="00F50E1F">
        <w:rPr>
          <w:rFonts w:cs="Arial"/>
          <w:b/>
          <w:u w:val="single"/>
        </w:rPr>
        <w:t>Proposal 1</w:t>
      </w:r>
      <w:r w:rsidR="00A644F7">
        <w:rPr>
          <w:rFonts w:cs="Arial"/>
          <w:b/>
          <w:u w:val="single"/>
        </w:rPr>
        <w:t>1</w:t>
      </w:r>
      <w:r w:rsidRPr="00F50E1F">
        <w:rPr>
          <w:rFonts w:cs="Arial"/>
          <w:b/>
          <w:u w:val="single"/>
        </w:rPr>
        <w:t xml:space="preserve">: </w:t>
      </w:r>
      <w:r w:rsidRPr="00F50E1F">
        <w:rPr>
          <w:rFonts w:cs="Arial"/>
          <w:b/>
          <w:i/>
          <w:iCs/>
        </w:rPr>
        <w:t xml:space="preserve">An RRM measurement prediction configuration may be fully applicable, fully non-applicable, or partially applicable. </w:t>
      </w:r>
    </w:p>
    <w:p w14:paraId="4AAE8321" w14:textId="77777777" w:rsidR="0028322A" w:rsidRPr="00F50E1F" w:rsidRDefault="0028322A" w:rsidP="00C15AF1">
      <w:pPr>
        <w:tabs>
          <w:tab w:val="left" w:pos="0"/>
        </w:tabs>
        <w:jc w:val="left"/>
        <w:rPr>
          <w:rFonts w:cs="Arial"/>
          <w:sz w:val="18"/>
          <w:szCs w:val="18"/>
        </w:rPr>
      </w:pPr>
    </w:p>
    <w:p w14:paraId="23E9575E" w14:textId="77777777" w:rsidR="0028322A" w:rsidRPr="00F50E1F" w:rsidRDefault="0028322A" w:rsidP="009E6FDB">
      <w:pPr>
        <w:jc w:val="left"/>
      </w:pPr>
      <w:r w:rsidRPr="00F50E1F">
        <w:rPr>
          <w:highlight w:val="lightGray"/>
        </w:rPr>
        <w:t>[Performing Inference]</w:t>
      </w:r>
    </w:p>
    <w:p w14:paraId="557DF5D6" w14:textId="6FDA7465" w:rsidR="00C2768E" w:rsidRPr="00F50E1F" w:rsidRDefault="00C2768E" w:rsidP="00C15AF1">
      <w:pPr>
        <w:tabs>
          <w:tab w:val="left" w:pos="1377"/>
        </w:tabs>
        <w:ind w:left="1354" w:hanging="1354"/>
        <w:jc w:val="left"/>
        <w:rPr>
          <w:rFonts w:eastAsia="DengXian"/>
          <w:bCs/>
        </w:rPr>
      </w:pPr>
      <w:r w:rsidRPr="00A644F7">
        <w:rPr>
          <w:rFonts w:cs="Arial"/>
          <w:b/>
          <w:u w:val="single"/>
        </w:rPr>
        <w:t xml:space="preserve">Observation </w:t>
      </w:r>
      <w:r w:rsidR="00A644F7" w:rsidRPr="00A644F7">
        <w:rPr>
          <w:rFonts w:cs="Arial"/>
          <w:b/>
          <w:u w:val="single"/>
        </w:rPr>
        <w:t>8</w:t>
      </w:r>
      <w:r w:rsidRPr="00A644F7">
        <w:rPr>
          <w:rFonts w:cs="Arial"/>
          <w:b/>
          <w:u w:val="single"/>
        </w:rPr>
        <w:t>:</w:t>
      </w:r>
      <w:r w:rsidRPr="00F50E1F">
        <w:rPr>
          <w:rFonts w:cs="Arial"/>
          <w:b/>
          <w:i/>
          <w:iCs/>
        </w:rPr>
        <w:t xml:space="preserve"> </w:t>
      </w:r>
      <w:r w:rsidRPr="00F50E1F">
        <w:rPr>
          <w:rFonts w:cs="Arial"/>
          <w:bCs/>
          <w:i/>
          <w:iCs/>
        </w:rPr>
        <w:t>Performing RRM measurement predictions all the time is highly inefficient (e.g., when the UE is under excellent serving cell coverage).</w:t>
      </w:r>
    </w:p>
    <w:p w14:paraId="118C7A3B" w14:textId="44F90F41" w:rsidR="00C2768E" w:rsidRPr="00F50E1F" w:rsidRDefault="00C2768E" w:rsidP="00C15AF1">
      <w:pPr>
        <w:tabs>
          <w:tab w:val="left" w:pos="1377"/>
        </w:tabs>
        <w:ind w:left="1170" w:hanging="1170"/>
        <w:jc w:val="left"/>
        <w:rPr>
          <w:rFonts w:cs="Arial"/>
          <w:b/>
          <w:i/>
          <w:iCs/>
        </w:rPr>
      </w:pPr>
      <w:r w:rsidRPr="00F50E1F">
        <w:rPr>
          <w:rFonts w:cs="Arial"/>
          <w:b/>
          <w:u w:val="single"/>
        </w:rPr>
        <w:t>Proposal 1</w:t>
      </w:r>
      <w:r w:rsidR="00A644F7">
        <w:rPr>
          <w:rFonts w:cs="Arial"/>
          <w:b/>
          <w:u w:val="single"/>
        </w:rPr>
        <w:t>2</w:t>
      </w:r>
      <w:r w:rsidRPr="00F50E1F">
        <w:rPr>
          <w:rFonts w:cs="Arial"/>
          <w:b/>
          <w:u w:val="single"/>
        </w:rPr>
        <w:t>:</w:t>
      </w:r>
      <w:r w:rsidRPr="00F50E1F">
        <w:rPr>
          <w:rFonts w:cs="Arial"/>
          <w:b/>
        </w:rPr>
        <w:t xml:space="preserve"> </w:t>
      </w:r>
      <w:r w:rsidRPr="00F50E1F">
        <w:rPr>
          <w:rFonts w:cs="Arial"/>
          <w:b/>
          <w:i/>
          <w:iCs/>
        </w:rPr>
        <w:t>The UE can be configured to start performing RRM measurement predictions in one of the following ways:</w:t>
      </w:r>
    </w:p>
    <w:p w14:paraId="5539E167" w14:textId="77777777" w:rsidR="00C2768E" w:rsidRPr="00F50E1F" w:rsidRDefault="00C2768E" w:rsidP="00C15AF1">
      <w:pPr>
        <w:pStyle w:val="ListParagraph"/>
        <w:numPr>
          <w:ilvl w:val="0"/>
          <w:numId w:val="43"/>
        </w:numPr>
        <w:tabs>
          <w:tab w:val="left" w:pos="1377"/>
        </w:tabs>
        <w:overflowPunct w:val="0"/>
        <w:autoSpaceDE w:val="0"/>
        <w:autoSpaceDN w:val="0"/>
        <w:adjustRightInd w:val="0"/>
        <w:spacing w:after="120"/>
        <w:ind w:left="1354" w:hanging="216"/>
        <w:textAlignment w:val="baseline"/>
        <w:rPr>
          <w:rFonts w:cs="Arial"/>
          <w:b/>
          <w:i/>
          <w:iCs/>
          <w:lang w:val="en-GB"/>
        </w:rPr>
      </w:pPr>
      <w:r w:rsidRPr="00F50E1F">
        <w:rPr>
          <w:rFonts w:cs="Arial"/>
          <w:b/>
          <w:i/>
          <w:iCs/>
          <w:lang w:val="en-GB"/>
        </w:rPr>
        <w:t>Automatically, upon the reception of the inference configuration and after determining that it has an applicable model.</w:t>
      </w:r>
    </w:p>
    <w:p w14:paraId="2889208F" w14:textId="55C5CD30" w:rsidR="00C2768E" w:rsidRPr="00F50E1F" w:rsidRDefault="00C2768E" w:rsidP="00C15AF1">
      <w:pPr>
        <w:pStyle w:val="ListParagraph"/>
        <w:numPr>
          <w:ilvl w:val="0"/>
          <w:numId w:val="43"/>
        </w:numPr>
        <w:tabs>
          <w:tab w:val="left" w:pos="1377"/>
        </w:tabs>
        <w:overflowPunct w:val="0"/>
        <w:autoSpaceDE w:val="0"/>
        <w:autoSpaceDN w:val="0"/>
        <w:adjustRightInd w:val="0"/>
        <w:spacing w:after="120"/>
        <w:ind w:left="1354" w:hanging="216"/>
        <w:textAlignment w:val="baseline"/>
        <w:rPr>
          <w:rFonts w:cs="Arial"/>
          <w:b/>
          <w:i/>
          <w:iCs/>
          <w:lang w:val="en-GB"/>
        </w:rPr>
      </w:pPr>
      <w:r w:rsidRPr="00F50E1F">
        <w:rPr>
          <w:rFonts w:cs="Arial"/>
          <w:b/>
          <w:i/>
          <w:iCs/>
          <w:lang w:val="en-GB"/>
        </w:rPr>
        <w:lastRenderedPageBreak/>
        <w:t xml:space="preserve">Upon the </w:t>
      </w:r>
      <w:r w:rsidR="00967C2D" w:rsidRPr="00F50E1F">
        <w:rPr>
          <w:rFonts w:cs="Arial"/>
          <w:b/>
          <w:i/>
          <w:iCs/>
          <w:lang w:val="en-GB"/>
        </w:rPr>
        <w:t>fulfilment</w:t>
      </w:r>
      <w:r w:rsidRPr="00F50E1F">
        <w:rPr>
          <w:rFonts w:cs="Arial"/>
          <w:b/>
          <w:i/>
          <w:iCs/>
          <w:lang w:val="en-GB"/>
        </w:rPr>
        <w:t xml:space="preserve"> of further conditions. The details of the conditions are FFS (e.g., configuration like the s-measure for starting inference).</w:t>
      </w:r>
    </w:p>
    <w:p w14:paraId="71A8147F" w14:textId="52B874B0" w:rsidR="00773F15" w:rsidRPr="00F50E1F" w:rsidRDefault="00773F15" w:rsidP="00C15AF1">
      <w:pPr>
        <w:pStyle w:val="Heading1"/>
      </w:pPr>
      <w:bookmarkStart w:id="4" w:name="_Toc178176170"/>
      <w:bookmarkStart w:id="5" w:name="_Hlk110514697"/>
      <w:r w:rsidRPr="00F50E1F">
        <w:t>References</w:t>
      </w:r>
      <w:bookmarkEnd w:id="4"/>
    </w:p>
    <w:bookmarkEnd w:id="5"/>
    <w:p w14:paraId="29ED160B" w14:textId="65656659" w:rsidR="00F73941" w:rsidRPr="00F50E1F" w:rsidRDefault="00F3653F" w:rsidP="00C15AF1">
      <w:pPr>
        <w:pStyle w:val="11BodyText"/>
        <w:numPr>
          <w:ilvl w:val="0"/>
          <w:numId w:val="27"/>
        </w:numPr>
        <w:tabs>
          <w:tab w:val="clear" w:pos="720"/>
          <w:tab w:val="num" w:pos="450"/>
          <w:tab w:val="left" w:pos="1080"/>
        </w:tabs>
        <w:ind w:left="450" w:hanging="450"/>
        <w:rPr>
          <w:rFonts w:ascii="Times New Roman" w:hAnsi="Times New Roman"/>
          <w:szCs w:val="18"/>
          <w:lang w:val="en-GB"/>
        </w:rPr>
      </w:pPr>
      <w:r>
        <w:rPr>
          <w:rFonts w:ascii="Times New Roman" w:hAnsi="Times New Roman"/>
          <w:szCs w:val="18"/>
          <w:lang w:val="en-GB"/>
        </w:rPr>
        <w:t>RAN2-132 Chair notes, Dallas, November 2025</w:t>
      </w:r>
    </w:p>
    <w:p w14:paraId="60585686" w14:textId="77777777" w:rsidR="00F3653F" w:rsidRDefault="00F3653F" w:rsidP="00C15AF1">
      <w:pPr>
        <w:pStyle w:val="11BodyText"/>
        <w:numPr>
          <w:ilvl w:val="0"/>
          <w:numId w:val="27"/>
        </w:numPr>
        <w:tabs>
          <w:tab w:val="clear" w:pos="720"/>
          <w:tab w:val="num" w:pos="450"/>
          <w:tab w:val="left" w:pos="1080"/>
        </w:tabs>
        <w:ind w:left="450" w:hanging="450"/>
        <w:rPr>
          <w:rFonts w:ascii="Times New Roman" w:hAnsi="Times New Roman"/>
          <w:szCs w:val="18"/>
          <w:lang w:val="en-GB"/>
        </w:rPr>
      </w:pPr>
      <w:r w:rsidRPr="00F3653F">
        <w:rPr>
          <w:rFonts w:ascii="Times New Roman" w:hAnsi="Times New Roman"/>
          <w:szCs w:val="18"/>
          <w:lang w:val="en-GB"/>
        </w:rPr>
        <w:t>R2-2508212</w:t>
      </w:r>
      <w:r>
        <w:rPr>
          <w:rFonts w:ascii="Times New Roman" w:hAnsi="Times New Roman"/>
          <w:szCs w:val="18"/>
          <w:lang w:val="en-GB"/>
        </w:rPr>
        <w:t xml:space="preserve">, </w:t>
      </w:r>
      <w:r w:rsidRPr="00F3653F">
        <w:rPr>
          <w:rFonts w:ascii="Times New Roman" w:hAnsi="Times New Roman"/>
          <w:szCs w:val="18"/>
          <w:lang w:val="en-GB"/>
        </w:rPr>
        <w:t>Discussion on functionality management for RRM measurement prediction</w:t>
      </w:r>
      <w:r>
        <w:rPr>
          <w:rFonts w:ascii="Times New Roman" w:hAnsi="Times New Roman"/>
          <w:szCs w:val="18"/>
          <w:lang w:val="en-GB"/>
        </w:rPr>
        <w:t>, OPPO, RAN2-132, Dallas, November 2025</w:t>
      </w:r>
    </w:p>
    <w:p w14:paraId="6F57AECF" w14:textId="383BB7D9" w:rsidR="00F3653F" w:rsidRDefault="00F3653F" w:rsidP="00C15AF1">
      <w:pPr>
        <w:pStyle w:val="11BodyText"/>
        <w:numPr>
          <w:ilvl w:val="0"/>
          <w:numId w:val="27"/>
        </w:numPr>
        <w:tabs>
          <w:tab w:val="clear" w:pos="720"/>
          <w:tab w:val="num" w:pos="450"/>
          <w:tab w:val="left" w:pos="1080"/>
        </w:tabs>
        <w:ind w:left="450" w:hanging="450"/>
        <w:rPr>
          <w:rFonts w:ascii="Times New Roman" w:hAnsi="Times New Roman"/>
          <w:szCs w:val="18"/>
          <w:lang w:val="en-GB"/>
        </w:rPr>
      </w:pPr>
      <w:r w:rsidRPr="00F3653F">
        <w:rPr>
          <w:rFonts w:ascii="Times New Roman" w:hAnsi="Times New Roman"/>
          <w:szCs w:val="18"/>
          <w:lang w:val="en-GB"/>
        </w:rPr>
        <w:t>R2-2508</w:t>
      </w:r>
      <w:r>
        <w:rPr>
          <w:rFonts w:ascii="Times New Roman" w:hAnsi="Times New Roman"/>
          <w:szCs w:val="18"/>
          <w:lang w:val="en-GB"/>
        </w:rPr>
        <w:t xml:space="preserve">057, </w:t>
      </w:r>
      <w:r w:rsidRPr="00F3653F">
        <w:rPr>
          <w:rFonts w:ascii="Times New Roman" w:hAnsi="Times New Roman"/>
          <w:szCs w:val="18"/>
          <w:lang w:val="en-GB"/>
        </w:rPr>
        <w:t>Discussion on RRM prediction</w:t>
      </w:r>
      <w:r>
        <w:rPr>
          <w:rFonts w:ascii="Times New Roman" w:hAnsi="Times New Roman"/>
          <w:szCs w:val="18"/>
          <w:lang w:val="en-GB"/>
        </w:rPr>
        <w:t>, Xiaomi, RAN2-132, Dallas, November 2025</w:t>
      </w:r>
    </w:p>
    <w:p w14:paraId="39D6B10F" w14:textId="77777777" w:rsidR="00792579" w:rsidRPr="00E951E0" w:rsidRDefault="00792579" w:rsidP="00792579">
      <w:pPr>
        <w:pStyle w:val="11BodyText"/>
        <w:numPr>
          <w:ilvl w:val="0"/>
          <w:numId w:val="27"/>
        </w:numPr>
        <w:tabs>
          <w:tab w:val="clear" w:pos="720"/>
          <w:tab w:val="num" w:pos="450"/>
          <w:tab w:val="left" w:pos="1080"/>
        </w:tabs>
        <w:ind w:left="450" w:hanging="450"/>
        <w:rPr>
          <w:rFonts w:ascii="Times New Roman" w:hAnsi="Times New Roman"/>
          <w:szCs w:val="18"/>
          <w:lang w:val="en-GB"/>
        </w:rPr>
      </w:pPr>
      <w:r w:rsidRPr="00E951E0">
        <w:rPr>
          <w:rFonts w:ascii="Times New Roman" w:hAnsi="Times New Roman"/>
          <w:szCs w:val="18"/>
          <w:lang w:val="en-GB"/>
        </w:rPr>
        <w:t>TR 38.744, Study on Artificial Intelligence (AI)/Machine Learning (ML) for Mobility in NR (Release 19), October 2025</w:t>
      </w:r>
    </w:p>
    <w:p w14:paraId="4C7B3081" w14:textId="2653E38C" w:rsidR="00DE2429" w:rsidRDefault="00DE2429" w:rsidP="00C15AF1">
      <w:pPr>
        <w:pStyle w:val="Heading1"/>
      </w:pPr>
      <w:r>
        <w:t xml:space="preserve">Annex: RAN2-132 agreements on AIML measurement prediction </w:t>
      </w:r>
    </w:p>
    <w:p w14:paraId="0F369D4D" w14:textId="77777777" w:rsidR="00DE2429" w:rsidRDefault="00DE2429" w:rsidP="00C15AF1">
      <w:pPr>
        <w:jc w:val="left"/>
      </w:pPr>
    </w:p>
    <w:p w14:paraId="3D3D43DD" w14:textId="77777777" w:rsidR="00DE2429" w:rsidRPr="008F08F1" w:rsidRDefault="00DE2429" w:rsidP="00C15AF1">
      <w:pPr>
        <w:pBdr>
          <w:top w:val="single" w:sz="4" w:space="1" w:color="auto"/>
          <w:left w:val="single" w:sz="4" w:space="4" w:color="auto"/>
          <w:bottom w:val="single" w:sz="4" w:space="1" w:color="auto"/>
          <w:right w:val="single" w:sz="4" w:space="4" w:color="auto"/>
        </w:pBdr>
        <w:ind w:left="1259"/>
        <w:jc w:val="left"/>
        <w:rPr>
          <w:b/>
          <w:bCs/>
          <w:szCs w:val="22"/>
          <w:lang w:val="en-US"/>
        </w:rPr>
      </w:pPr>
      <w:r w:rsidRPr="008F08F1">
        <w:rPr>
          <w:b/>
          <w:bCs/>
          <w:szCs w:val="22"/>
        </w:rPr>
        <w:t>Agreements: General</w:t>
      </w:r>
    </w:p>
    <w:p w14:paraId="72614FE8" w14:textId="77777777" w:rsidR="00DE2429" w:rsidRPr="00DE2429" w:rsidRDefault="00DE2429" w:rsidP="00C15AF1">
      <w:pPr>
        <w:numPr>
          <w:ilvl w:val="0"/>
          <w:numId w:val="44"/>
        </w:numPr>
        <w:pBdr>
          <w:top w:val="single" w:sz="4" w:space="1" w:color="auto"/>
          <w:left w:val="single" w:sz="4" w:space="4" w:color="auto"/>
          <w:bottom w:val="single" w:sz="4" w:space="1" w:color="auto"/>
          <w:right w:val="single" w:sz="4" w:space="4" w:color="auto"/>
        </w:pBdr>
        <w:jc w:val="left"/>
        <w:rPr>
          <w:szCs w:val="22"/>
          <w:lang w:val="en-US"/>
        </w:rPr>
      </w:pPr>
      <w:r w:rsidRPr="00DE2429">
        <w:rPr>
          <w:szCs w:val="22"/>
        </w:rPr>
        <w:t>SSB is taken as starting point as reference signal type for normative work in RAN2.</w:t>
      </w:r>
    </w:p>
    <w:p w14:paraId="1A437EE7" w14:textId="77777777" w:rsidR="00DE2429" w:rsidRPr="00DE2429" w:rsidRDefault="00DE2429" w:rsidP="00C15AF1">
      <w:pPr>
        <w:numPr>
          <w:ilvl w:val="0"/>
          <w:numId w:val="44"/>
        </w:numPr>
        <w:pBdr>
          <w:top w:val="single" w:sz="4" w:space="1" w:color="auto"/>
          <w:left w:val="single" w:sz="4" w:space="4" w:color="auto"/>
          <w:bottom w:val="single" w:sz="4" w:space="1" w:color="auto"/>
          <w:right w:val="single" w:sz="4" w:space="4" w:color="auto"/>
        </w:pBdr>
        <w:jc w:val="left"/>
        <w:rPr>
          <w:szCs w:val="22"/>
          <w:lang w:val="en-US"/>
        </w:rPr>
      </w:pPr>
      <w:r w:rsidRPr="00DE2429">
        <w:rPr>
          <w:szCs w:val="22"/>
        </w:rPr>
        <w:t>Only RSRP prediction is specified in R20 as measurement quantity i.e. RSRQ and SINR are not specified in R20 unless we receive RSRQ/SINR support from RAN4.</w:t>
      </w:r>
    </w:p>
    <w:p w14:paraId="2A683511" w14:textId="77777777" w:rsidR="00DE2429" w:rsidRPr="009E6FDB" w:rsidRDefault="00DE2429" w:rsidP="00C15AF1">
      <w:pPr>
        <w:numPr>
          <w:ilvl w:val="0"/>
          <w:numId w:val="44"/>
        </w:numPr>
        <w:pBdr>
          <w:top w:val="single" w:sz="4" w:space="1" w:color="auto"/>
          <w:left w:val="single" w:sz="4" w:space="4" w:color="auto"/>
          <w:bottom w:val="single" w:sz="4" w:space="1" w:color="auto"/>
          <w:right w:val="single" w:sz="4" w:space="4" w:color="auto"/>
        </w:pBdr>
        <w:jc w:val="left"/>
        <w:rPr>
          <w:szCs w:val="22"/>
          <w:lang w:val="en-US"/>
        </w:rPr>
      </w:pPr>
      <w:r w:rsidRPr="00EC23AF">
        <w:rPr>
          <w:szCs w:val="22"/>
        </w:rPr>
        <w:t xml:space="preserve">SA is taken as starting point as reference architecture for normative work in RAN2. </w:t>
      </w:r>
      <w:r w:rsidRPr="009E6FDB">
        <w:rPr>
          <w:szCs w:val="22"/>
        </w:rPr>
        <w:t>FFS on NR-DC.</w:t>
      </w:r>
    </w:p>
    <w:p w14:paraId="7AC89C26" w14:textId="77777777" w:rsidR="00DE2429" w:rsidRPr="008F08F1" w:rsidRDefault="00DE2429" w:rsidP="00C15AF1">
      <w:pPr>
        <w:pBdr>
          <w:top w:val="single" w:sz="4" w:space="1" w:color="auto"/>
          <w:left w:val="single" w:sz="4" w:space="4" w:color="auto"/>
          <w:bottom w:val="single" w:sz="4" w:space="1" w:color="auto"/>
          <w:right w:val="single" w:sz="4" w:space="0" w:color="auto"/>
        </w:pBdr>
        <w:tabs>
          <w:tab w:val="left" w:pos="1622"/>
        </w:tabs>
        <w:spacing w:after="0"/>
        <w:ind w:left="1622" w:hanging="363"/>
        <w:jc w:val="left"/>
        <w:textAlignment w:val="auto"/>
        <w:rPr>
          <w:rFonts w:eastAsia="Malgun Gothic"/>
          <w:b/>
          <w:bCs/>
          <w:szCs w:val="22"/>
          <w:lang w:val="en-US" w:eastAsia="ko-KR"/>
        </w:rPr>
      </w:pPr>
      <w:r w:rsidRPr="008F08F1">
        <w:rPr>
          <w:rFonts w:eastAsia="Times New Roman"/>
          <w:b/>
          <w:bCs/>
          <w:szCs w:val="22"/>
          <w:lang w:val="en-US" w:eastAsia="ja-JP"/>
        </w:rPr>
        <w:t>Agreements</w:t>
      </w:r>
      <w:r w:rsidRPr="008F08F1">
        <w:rPr>
          <w:rFonts w:eastAsia="Malgun Gothic"/>
          <w:b/>
          <w:bCs/>
          <w:szCs w:val="22"/>
          <w:lang w:val="en-US" w:eastAsia="ko-KR"/>
        </w:rPr>
        <w:t>: applicability reporting option(s)</w:t>
      </w:r>
    </w:p>
    <w:p w14:paraId="7D1B48E0" w14:textId="77777777" w:rsidR="00DE2429" w:rsidRDefault="00DE2429" w:rsidP="00C15AF1">
      <w:pPr>
        <w:numPr>
          <w:ilvl w:val="0"/>
          <w:numId w:val="46"/>
        </w:numPr>
        <w:pBdr>
          <w:top w:val="single" w:sz="4" w:space="1" w:color="auto"/>
          <w:left w:val="single" w:sz="4" w:space="4" w:color="auto"/>
          <w:bottom w:val="single" w:sz="4" w:space="1" w:color="auto"/>
          <w:right w:val="single" w:sz="4" w:space="0" w:color="auto"/>
        </w:pBdr>
        <w:tabs>
          <w:tab w:val="left" w:pos="1622"/>
        </w:tabs>
        <w:overflowPunct/>
        <w:autoSpaceDE/>
        <w:adjustRightInd/>
        <w:spacing w:after="0"/>
        <w:jc w:val="left"/>
        <w:textAlignment w:val="auto"/>
        <w:rPr>
          <w:rFonts w:eastAsia="Malgun Gothic"/>
          <w:szCs w:val="22"/>
          <w:lang w:val="en-US" w:eastAsia="ko-KR"/>
        </w:rPr>
      </w:pPr>
      <w:r w:rsidRPr="008F08F1">
        <w:rPr>
          <w:rFonts w:eastAsia="Malgun Gothic"/>
          <w:szCs w:val="22"/>
          <w:lang w:val="en-US" w:eastAsia="ko-KR"/>
        </w:rPr>
        <w:t>For applicability reporting in AI-Mob, both Option A and Option B mechanisms are supported.</w:t>
      </w:r>
    </w:p>
    <w:p w14:paraId="44BD2EB3" w14:textId="77777777" w:rsidR="00DE2429" w:rsidRPr="008F08F1" w:rsidRDefault="00DE2429" w:rsidP="009E6FDB">
      <w:pPr>
        <w:pBdr>
          <w:top w:val="single" w:sz="4" w:space="1" w:color="auto"/>
          <w:left w:val="single" w:sz="4" w:space="4" w:color="auto"/>
          <w:bottom w:val="single" w:sz="4" w:space="1" w:color="auto"/>
          <w:right w:val="single" w:sz="4" w:space="0" w:color="auto"/>
        </w:pBdr>
        <w:tabs>
          <w:tab w:val="left" w:pos="1622"/>
        </w:tabs>
        <w:overflowPunct/>
        <w:autoSpaceDE/>
        <w:adjustRightInd/>
        <w:spacing w:after="0"/>
        <w:ind w:left="1259"/>
        <w:jc w:val="left"/>
        <w:textAlignment w:val="auto"/>
        <w:rPr>
          <w:rFonts w:eastAsia="Malgun Gothic"/>
          <w:szCs w:val="22"/>
          <w:lang w:val="en-US" w:eastAsia="ko-KR"/>
        </w:rPr>
      </w:pPr>
    </w:p>
    <w:p w14:paraId="1AC7A8F2" w14:textId="77777777" w:rsidR="00DE2429" w:rsidRDefault="00DE2429" w:rsidP="00C15AF1">
      <w:pPr>
        <w:pBdr>
          <w:top w:val="single" w:sz="4" w:space="1" w:color="auto"/>
          <w:left w:val="single" w:sz="4" w:space="4" w:color="auto"/>
          <w:bottom w:val="single" w:sz="4" w:space="1" w:color="auto"/>
          <w:right w:val="single" w:sz="4" w:space="0" w:color="auto"/>
        </w:pBdr>
        <w:tabs>
          <w:tab w:val="left" w:pos="1622"/>
        </w:tabs>
        <w:spacing w:after="0"/>
        <w:ind w:left="1622" w:hanging="363"/>
        <w:jc w:val="left"/>
        <w:textAlignment w:val="auto"/>
        <w:rPr>
          <w:rFonts w:eastAsia="Malgun Gothic"/>
          <w:szCs w:val="22"/>
          <w:lang w:val="en-US" w:eastAsia="ko-KR"/>
        </w:rPr>
      </w:pPr>
      <w:r w:rsidRPr="008F08F1">
        <w:rPr>
          <w:rFonts w:eastAsia="Malgun Gothic"/>
          <w:szCs w:val="22"/>
          <w:lang w:val="en-US" w:eastAsia="ko-KR"/>
        </w:rPr>
        <w:tab/>
        <w:t xml:space="preserve">- Option A: Network configures full inference configuration, and UE reports applicability status to the network via RRCReconfigurationComplete, </w:t>
      </w:r>
      <w:proofErr w:type="spellStart"/>
      <w:r w:rsidRPr="008F08F1">
        <w:rPr>
          <w:rFonts w:eastAsia="Malgun Gothic"/>
          <w:szCs w:val="22"/>
          <w:lang w:val="en-US" w:eastAsia="ko-KR"/>
        </w:rPr>
        <w:t>RRCResumeComplete</w:t>
      </w:r>
      <w:proofErr w:type="spellEnd"/>
      <w:r w:rsidRPr="008F08F1">
        <w:rPr>
          <w:rFonts w:eastAsia="Malgun Gothic"/>
          <w:szCs w:val="22"/>
          <w:lang w:val="en-US" w:eastAsia="ko-KR"/>
        </w:rPr>
        <w:t xml:space="preserve"> and UAI</w:t>
      </w:r>
    </w:p>
    <w:p w14:paraId="5EF255AC" w14:textId="77777777" w:rsidR="00DE2429" w:rsidRPr="008F08F1" w:rsidRDefault="00DE2429" w:rsidP="00C15AF1">
      <w:pPr>
        <w:pBdr>
          <w:top w:val="single" w:sz="4" w:space="1" w:color="auto"/>
          <w:left w:val="single" w:sz="4" w:space="4" w:color="auto"/>
          <w:bottom w:val="single" w:sz="4" w:space="1" w:color="auto"/>
          <w:right w:val="single" w:sz="4" w:space="0" w:color="auto"/>
        </w:pBdr>
        <w:tabs>
          <w:tab w:val="left" w:pos="1622"/>
        </w:tabs>
        <w:spacing w:after="0"/>
        <w:ind w:left="1622" w:hanging="363"/>
        <w:jc w:val="left"/>
        <w:textAlignment w:val="auto"/>
        <w:rPr>
          <w:rFonts w:eastAsia="Malgun Gothic"/>
          <w:szCs w:val="22"/>
          <w:lang w:val="en-US" w:eastAsia="ko-KR"/>
        </w:rPr>
      </w:pPr>
    </w:p>
    <w:p w14:paraId="78A91138" w14:textId="77777777" w:rsidR="00DE2429" w:rsidRPr="008F08F1" w:rsidRDefault="00DE2429" w:rsidP="00C15AF1">
      <w:pPr>
        <w:pBdr>
          <w:top w:val="single" w:sz="4" w:space="1" w:color="auto"/>
          <w:left w:val="single" w:sz="4" w:space="4" w:color="auto"/>
          <w:bottom w:val="single" w:sz="4" w:space="1" w:color="auto"/>
          <w:right w:val="single" w:sz="4" w:space="0" w:color="auto"/>
        </w:pBdr>
        <w:tabs>
          <w:tab w:val="left" w:pos="1622"/>
        </w:tabs>
        <w:spacing w:after="0"/>
        <w:ind w:left="1622" w:hanging="363"/>
        <w:jc w:val="left"/>
        <w:textAlignment w:val="auto"/>
        <w:rPr>
          <w:rFonts w:eastAsia="Malgun Gothic"/>
          <w:szCs w:val="22"/>
          <w:lang w:val="en-US" w:eastAsia="ko-KR"/>
        </w:rPr>
      </w:pPr>
      <w:r w:rsidRPr="008F08F1">
        <w:rPr>
          <w:rFonts w:eastAsia="Malgun Gothic"/>
          <w:szCs w:val="22"/>
          <w:lang w:val="en-US" w:eastAsia="ko-KR"/>
        </w:rPr>
        <w:tab/>
        <w:t xml:space="preserve">- Option B: Network configures partial inference configuration via </w:t>
      </w:r>
      <w:proofErr w:type="spellStart"/>
      <w:r w:rsidRPr="008F08F1">
        <w:rPr>
          <w:rFonts w:eastAsia="Malgun Gothic"/>
          <w:szCs w:val="22"/>
          <w:lang w:val="en-US" w:eastAsia="ko-KR"/>
        </w:rPr>
        <w:t>OtherConfig</w:t>
      </w:r>
      <w:proofErr w:type="spellEnd"/>
      <w:r w:rsidRPr="008F08F1">
        <w:rPr>
          <w:rFonts w:eastAsia="Malgun Gothic"/>
          <w:szCs w:val="22"/>
          <w:lang w:val="en-US" w:eastAsia="ko-KR"/>
        </w:rPr>
        <w:t>, and UE reports applicability status to the network via RRCReconfigurationComplete and UAI, then the network provides full inference configuration based on the received applicability status.</w:t>
      </w:r>
    </w:p>
    <w:p w14:paraId="09069239" w14:textId="77777777" w:rsidR="00DE2429" w:rsidRPr="008F08F1" w:rsidRDefault="00DE2429" w:rsidP="00C15AF1">
      <w:pPr>
        <w:pBdr>
          <w:top w:val="single" w:sz="4" w:space="1" w:color="auto"/>
          <w:left w:val="single" w:sz="4" w:space="4" w:color="auto"/>
          <w:bottom w:val="single" w:sz="4" w:space="1" w:color="auto"/>
          <w:right w:val="single" w:sz="4" w:space="0" w:color="auto"/>
        </w:pBdr>
        <w:tabs>
          <w:tab w:val="left" w:pos="1622"/>
        </w:tabs>
        <w:spacing w:after="0"/>
        <w:ind w:left="1622" w:hanging="363"/>
        <w:jc w:val="left"/>
        <w:textAlignment w:val="auto"/>
        <w:rPr>
          <w:rFonts w:eastAsia="Malgun Gothic"/>
          <w:szCs w:val="22"/>
          <w:lang w:val="en-US" w:eastAsia="ko-KR"/>
        </w:rPr>
      </w:pPr>
    </w:p>
    <w:p w14:paraId="5C24585E" w14:textId="77777777" w:rsidR="00DE2429" w:rsidRPr="008F08F1" w:rsidRDefault="00DE2429" w:rsidP="00C15AF1">
      <w:pPr>
        <w:pBdr>
          <w:top w:val="single" w:sz="4" w:space="1" w:color="auto"/>
          <w:left w:val="single" w:sz="4" w:space="4" w:color="auto"/>
          <w:bottom w:val="single" w:sz="4" w:space="1" w:color="auto"/>
          <w:right w:val="single" w:sz="4" w:space="4" w:color="auto"/>
        </w:pBdr>
        <w:ind w:left="1259"/>
        <w:jc w:val="left"/>
        <w:rPr>
          <w:b/>
          <w:bCs/>
          <w:szCs w:val="22"/>
        </w:rPr>
      </w:pPr>
      <w:r w:rsidRPr="008F08F1">
        <w:rPr>
          <w:b/>
          <w:bCs/>
          <w:szCs w:val="22"/>
        </w:rPr>
        <w:t>Agreements: Applicability reporting procedure</w:t>
      </w:r>
    </w:p>
    <w:p w14:paraId="795EE8CF" w14:textId="77777777" w:rsidR="00DE2429" w:rsidRPr="005461A0" w:rsidRDefault="00DE2429" w:rsidP="00C15AF1">
      <w:pPr>
        <w:numPr>
          <w:ilvl w:val="0"/>
          <w:numId w:val="48"/>
        </w:numPr>
        <w:pBdr>
          <w:top w:val="single" w:sz="4" w:space="1" w:color="auto"/>
          <w:left w:val="single" w:sz="4" w:space="4" w:color="auto"/>
          <w:bottom w:val="single" w:sz="4" w:space="1" w:color="auto"/>
          <w:right w:val="single" w:sz="4" w:space="4" w:color="auto"/>
        </w:pBdr>
        <w:jc w:val="left"/>
        <w:rPr>
          <w:szCs w:val="22"/>
          <w:lang w:val="en-US"/>
        </w:rPr>
      </w:pPr>
      <w:r w:rsidRPr="005461A0">
        <w:rPr>
          <w:szCs w:val="22"/>
        </w:rPr>
        <w:t>UE can be configured with a full inference configuration and/or a partial inference configuration with inference parameters defined in section 6.1.2.1.2 of TR [2] in a RRCReconfiguration message.</w:t>
      </w:r>
    </w:p>
    <w:p w14:paraId="49164529" w14:textId="77777777" w:rsidR="00DE2429" w:rsidRPr="005461A0" w:rsidRDefault="00DE2429" w:rsidP="00C15AF1">
      <w:pPr>
        <w:numPr>
          <w:ilvl w:val="0"/>
          <w:numId w:val="48"/>
        </w:numPr>
        <w:pBdr>
          <w:top w:val="single" w:sz="4" w:space="1" w:color="auto"/>
          <w:left w:val="single" w:sz="4" w:space="4" w:color="auto"/>
          <w:bottom w:val="single" w:sz="4" w:space="1" w:color="auto"/>
          <w:right w:val="single" w:sz="4" w:space="4" w:color="auto"/>
        </w:pBdr>
        <w:jc w:val="left"/>
        <w:rPr>
          <w:szCs w:val="22"/>
          <w:lang w:val="en-US"/>
        </w:rPr>
      </w:pPr>
      <w:r w:rsidRPr="005461A0">
        <w:rPr>
          <w:szCs w:val="22"/>
        </w:rPr>
        <w:t>Upon receiving an inference configuration (either full or partial) via RRCReconfiguration message, UE reports whether it is applicable or inapplicable in initial applicability report via RRCReconfigurationComplete message.</w:t>
      </w:r>
    </w:p>
    <w:p w14:paraId="76680863" w14:textId="77777777" w:rsidR="00DE2429" w:rsidRPr="009E6FDB" w:rsidRDefault="00DE2429" w:rsidP="00C15AF1">
      <w:pPr>
        <w:numPr>
          <w:ilvl w:val="0"/>
          <w:numId w:val="48"/>
        </w:numPr>
        <w:pBdr>
          <w:top w:val="single" w:sz="4" w:space="1" w:color="auto"/>
          <w:left w:val="single" w:sz="4" w:space="4" w:color="auto"/>
          <w:bottom w:val="single" w:sz="4" w:space="1" w:color="auto"/>
          <w:right w:val="single" w:sz="4" w:space="4" w:color="auto"/>
        </w:pBdr>
        <w:jc w:val="left"/>
        <w:rPr>
          <w:szCs w:val="22"/>
          <w:lang w:val="en-US"/>
        </w:rPr>
      </w:pPr>
      <w:r w:rsidRPr="009E6FDB">
        <w:rPr>
          <w:szCs w:val="22"/>
        </w:rPr>
        <w:t>FFS on “If an inference configuration is inapplicable, UE-may include a flag to indicate its preference to release to NW. When UE indicates that an inference configuration is inapplicable, network is expected to release it i.e., autonomous release by UE is not supported.”</w:t>
      </w:r>
    </w:p>
    <w:p w14:paraId="1016BDA5" w14:textId="77777777" w:rsidR="00DE2429" w:rsidRPr="005461A0" w:rsidRDefault="00DE2429" w:rsidP="00C15AF1">
      <w:pPr>
        <w:numPr>
          <w:ilvl w:val="0"/>
          <w:numId w:val="48"/>
        </w:numPr>
        <w:pBdr>
          <w:top w:val="single" w:sz="4" w:space="1" w:color="auto"/>
          <w:left w:val="single" w:sz="4" w:space="4" w:color="auto"/>
          <w:bottom w:val="single" w:sz="4" w:space="1" w:color="auto"/>
          <w:right w:val="single" w:sz="4" w:space="4" w:color="auto"/>
        </w:pBdr>
        <w:jc w:val="left"/>
        <w:rPr>
          <w:szCs w:val="22"/>
          <w:lang w:val="en-US"/>
        </w:rPr>
      </w:pPr>
      <w:r w:rsidRPr="005461A0">
        <w:rPr>
          <w:szCs w:val="22"/>
        </w:rPr>
        <w:lastRenderedPageBreak/>
        <w:t xml:space="preserve">Applicability can be updated via UAI. </w:t>
      </w:r>
      <w:r w:rsidRPr="009E6FDB">
        <w:rPr>
          <w:szCs w:val="22"/>
        </w:rPr>
        <w:t>FFS on RRC reconfiguration complete.</w:t>
      </w:r>
    </w:p>
    <w:p w14:paraId="53762A33" w14:textId="77777777" w:rsidR="00DE2429" w:rsidRPr="005461A0" w:rsidRDefault="00DE2429" w:rsidP="00C15AF1">
      <w:pPr>
        <w:numPr>
          <w:ilvl w:val="0"/>
          <w:numId w:val="48"/>
        </w:numPr>
        <w:pBdr>
          <w:top w:val="single" w:sz="4" w:space="1" w:color="auto"/>
          <w:left w:val="single" w:sz="4" w:space="4" w:color="auto"/>
          <w:bottom w:val="single" w:sz="4" w:space="1" w:color="auto"/>
          <w:right w:val="single" w:sz="4" w:space="4" w:color="auto"/>
        </w:pBdr>
        <w:jc w:val="left"/>
        <w:rPr>
          <w:szCs w:val="22"/>
          <w:lang w:val="en-US"/>
        </w:rPr>
      </w:pPr>
      <w:r w:rsidRPr="005461A0">
        <w:rPr>
          <w:szCs w:val="22"/>
        </w:rPr>
        <w:t>No prohibit timer needs to be introduced for prohibiting applicability reporting.</w:t>
      </w:r>
    </w:p>
    <w:p w14:paraId="773DB666" w14:textId="77777777" w:rsidR="00DE2429" w:rsidRPr="005461A0" w:rsidRDefault="00DE2429" w:rsidP="00C15AF1">
      <w:pPr>
        <w:numPr>
          <w:ilvl w:val="0"/>
          <w:numId w:val="48"/>
        </w:numPr>
        <w:pBdr>
          <w:top w:val="single" w:sz="4" w:space="1" w:color="auto"/>
          <w:left w:val="single" w:sz="4" w:space="4" w:color="auto"/>
          <w:bottom w:val="single" w:sz="4" w:space="1" w:color="auto"/>
          <w:right w:val="single" w:sz="4" w:space="4" w:color="auto"/>
        </w:pBdr>
        <w:jc w:val="left"/>
        <w:rPr>
          <w:szCs w:val="22"/>
          <w:lang w:val="en-US"/>
        </w:rPr>
      </w:pPr>
      <w:r w:rsidRPr="005461A0">
        <w:rPr>
          <w:szCs w:val="22"/>
          <w:lang w:val="en-US"/>
        </w:rPr>
        <w:t>Working assumption: Upon transition to RRC_INACTIVE state, UE keep inference configuration (full and/or partial inference configuration) without spec impact.</w:t>
      </w:r>
    </w:p>
    <w:p w14:paraId="158B5906" w14:textId="2636AA4C" w:rsidR="00DE2429" w:rsidRPr="009E6FDB" w:rsidRDefault="00DE2429" w:rsidP="00C15AF1">
      <w:pPr>
        <w:numPr>
          <w:ilvl w:val="0"/>
          <w:numId w:val="48"/>
        </w:numPr>
        <w:pBdr>
          <w:top w:val="single" w:sz="4" w:space="1" w:color="auto"/>
          <w:left w:val="single" w:sz="4" w:space="4" w:color="auto"/>
          <w:bottom w:val="single" w:sz="4" w:space="1" w:color="auto"/>
          <w:right w:val="single" w:sz="4" w:space="4" w:color="auto"/>
        </w:pBdr>
        <w:jc w:val="left"/>
        <w:rPr>
          <w:szCs w:val="22"/>
          <w:lang w:val="en-US"/>
        </w:rPr>
      </w:pPr>
      <w:r w:rsidRPr="009E6FDB">
        <w:rPr>
          <w:szCs w:val="22"/>
        </w:rPr>
        <w:t>FFS on “the UE doesn’t autonomous release the inference configuration when it becomes inapplicable. But the UE can autonomously be fallback to non-AI operation.”</w:t>
      </w:r>
    </w:p>
    <w:p w14:paraId="1DE2F94C" w14:textId="77777777" w:rsidR="00DE2429" w:rsidRPr="005461A0" w:rsidRDefault="00DE2429" w:rsidP="00C15AF1">
      <w:pPr>
        <w:numPr>
          <w:ilvl w:val="0"/>
          <w:numId w:val="48"/>
        </w:numPr>
        <w:pBdr>
          <w:top w:val="single" w:sz="4" w:space="1" w:color="auto"/>
          <w:left w:val="single" w:sz="4" w:space="4" w:color="auto"/>
          <w:bottom w:val="single" w:sz="4" w:space="1" w:color="auto"/>
          <w:right w:val="single" w:sz="4" w:space="4" w:color="auto"/>
        </w:pBdr>
        <w:jc w:val="left"/>
        <w:rPr>
          <w:szCs w:val="22"/>
          <w:lang w:val="en-US"/>
        </w:rPr>
      </w:pPr>
      <w:r w:rsidRPr="005461A0">
        <w:rPr>
          <w:szCs w:val="22"/>
          <w:lang w:val="en-US"/>
        </w:rPr>
        <w:t xml:space="preserve">No enhancements are pursued for reporting applicability in </w:t>
      </w:r>
      <w:proofErr w:type="spellStart"/>
      <w:r w:rsidRPr="005461A0">
        <w:rPr>
          <w:szCs w:val="22"/>
          <w:lang w:val="en-US"/>
        </w:rPr>
        <w:t>RRCReestablishmentComplete</w:t>
      </w:r>
      <w:proofErr w:type="spellEnd"/>
      <w:r w:rsidRPr="005461A0">
        <w:rPr>
          <w:szCs w:val="22"/>
          <w:lang w:val="en-US"/>
        </w:rPr>
        <w:t>.</w:t>
      </w:r>
    </w:p>
    <w:p w14:paraId="2782A257" w14:textId="77777777" w:rsidR="00DE2429" w:rsidRPr="005461A0" w:rsidRDefault="00DE2429" w:rsidP="00C15AF1">
      <w:pPr>
        <w:numPr>
          <w:ilvl w:val="0"/>
          <w:numId w:val="48"/>
        </w:numPr>
        <w:pBdr>
          <w:top w:val="single" w:sz="4" w:space="1" w:color="auto"/>
          <w:left w:val="single" w:sz="4" w:space="4" w:color="auto"/>
          <w:bottom w:val="single" w:sz="4" w:space="1" w:color="auto"/>
          <w:right w:val="single" w:sz="4" w:space="4" w:color="auto"/>
        </w:pBdr>
        <w:jc w:val="left"/>
        <w:rPr>
          <w:szCs w:val="22"/>
          <w:lang w:val="en-US"/>
        </w:rPr>
      </w:pPr>
      <w:r w:rsidRPr="005461A0">
        <w:rPr>
          <w:szCs w:val="22"/>
          <w:lang w:val="en-US"/>
        </w:rPr>
        <w:t xml:space="preserve">Working assumption: Applicability reporting is added in </w:t>
      </w:r>
      <w:proofErr w:type="spellStart"/>
      <w:r w:rsidRPr="005461A0">
        <w:rPr>
          <w:szCs w:val="22"/>
          <w:lang w:val="en-US"/>
        </w:rPr>
        <w:t>RRCResumeComplete</w:t>
      </w:r>
      <w:proofErr w:type="spellEnd"/>
      <w:r w:rsidRPr="005461A0">
        <w:rPr>
          <w:szCs w:val="22"/>
          <w:lang w:val="en-US"/>
        </w:rPr>
        <w:t xml:space="preserve"> for inference configurations.</w:t>
      </w:r>
    </w:p>
    <w:p w14:paraId="599AB341" w14:textId="77777777" w:rsidR="00DE2429" w:rsidRPr="009E6FDB" w:rsidRDefault="00DE2429" w:rsidP="00C15AF1">
      <w:pPr>
        <w:numPr>
          <w:ilvl w:val="0"/>
          <w:numId w:val="48"/>
        </w:numPr>
        <w:pBdr>
          <w:top w:val="single" w:sz="4" w:space="1" w:color="auto"/>
          <w:left w:val="single" w:sz="4" w:space="4" w:color="auto"/>
          <w:bottom w:val="single" w:sz="4" w:space="1" w:color="auto"/>
          <w:right w:val="single" w:sz="4" w:space="4" w:color="auto"/>
        </w:pBdr>
        <w:jc w:val="left"/>
        <w:rPr>
          <w:szCs w:val="22"/>
          <w:lang w:val="en-US"/>
        </w:rPr>
      </w:pPr>
      <w:r w:rsidRPr="009E6FDB">
        <w:rPr>
          <w:szCs w:val="22"/>
          <w:lang w:val="en-US"/>
        </w:rPr>
        <w:t>RRCReconfigurationComplete shall include applicability/inapplicability status for: a) All prediction configurations included in the immediately preceding RRCReconfiguration message.</w:t>
      </w:r>
    </w:p>
    <w:p w14:paraId="1EDBA1AD" w14:textId="77777777" w:rsidR="00DE2429" w:rsidRPr="005461A0" w:rsidRDefault="00DE2429" w:rsidP="00C15AF1">
      <w:pPr>
        <w:numPr>
          <w:ilvl w:val="0"/>
          <w:numId w:val="48"/>
        </w:numPr>
        <w:pBdr>
          <w:top w:val="single" w:sz="4" w:space="1" w:color="auto"/>
          <w:left w:val="single" w:sz="4" w:space="4" w:color="auto"/>
          <w:bottom w:val="single" w:sz="4" w:space="1" w:color="auto"/>
          <w:right w:val="single" w:sz="4" w:space="4" w:color="auto"/>
        </w:pBdr>
        <w:jc w:val="left"/>
        <w:rPr>
          <w:szCs w:val="22"/>
          <w:lang w:val="en-US"/>
        </w:rPr>
      </w:pPr>
      <w:r w:rsidRPr="005461A0">
        <w:rPr>
          <w:szCs w:val="22"/>
          <w:lang w:val="en-US"/>
        </w:rPr>
        <w:t>Applicability reporting via UAI is always enabled.</w:t>
      </w:r>
    </w:p>
    <w:p w14:paraId="6AD63440" w14:textId="77777777" w:rsidR="00DE2429" w:rsidRPr="005461A0" w:rsidRDefault="00DE2429" w:rsidP="00C15AF1">
      <w:pPr>
        <w:numPr>
          <w:ilvl w:val="0"/>
          <w:numId w:val="48"/>
        </w:numPr>
        <w:pBdr>
          <w:top w:val="single" w:sz="4" w:space="1" w:color="auto"/>
          <w:left w:val="single" w:sz="4" w:space="4" w:color="auto"/>
          <w:bottom w:val="single" w:sz="4" w:space="1" w:color="auto"/>
          <w:right w:val="single" w:sz="4" w:space="4" w:color="auto"/>
        </w:pBdr>
        <w:jc w:val="left"/>
        <w:rPr>
          <w:szCs w:val="22"/>
          <w:lang w:val="en-US"/>
        </w:rPr>
      </w:pPr>
      <w:r w:rsidRPr="005461A0">
        <w:rPr>
          <w:szCs w:val="22"/>
          <w:lang w:val="en-US"/>
        </w:rPr>
        <w:t>During mobility, the target gNB can check the applicability by including target cell inference configurations in the handover command message, i.e., RRCReconfiguration, and the UE can respond with RRCReconfigurationComplete.</w:t>
      </w:r>
    </w:p>
    <w:p w14:paraId="369F6340" w14:textId="77777777" w:rsidR="00DE2429" w:rsidRPr="009E6FDB" w:rsidRDefault="00DE2429" w:rsidP="00C15AF1">
      <w:pPr>
        <w:numPr>
          <w:ilvl w:val="0"/>
          <w:numId w:val="48"/>
        </w:numPr>
        <w:pBdr>
          <w:top w:val="single" w:sz="4" w:space="1" w:color="auto"/>
          <w:left w:val="single" w:sz="4" w:space="4" w:color="auto"/>
          <w:bottom w:val="single" w:sz="4" w:space="1" w:color="auto"/>
          <w:right w:val="single" w:sz="4" w:space="4" w:color="auto"/>
        </w:pBdr>
        <w:jc w:val="left"/>
        <w:rPr>
          <w:szCs w:val="22"/>
          <w:lang w:val="en-US"/>
        </w:rPr>
      </w:pPr>
      <w:r w:rsidRPr="009E6FDB">
        <w:rPr>
          <w:szCs w:val="22"/>
          <w:lang w:val="en-US"/>
        </w:rPr>
        <w:t>FFS whether we also apply applicability reporting in RRC reconfiguration complete when applicability status is changed from applicable/inapplicable to inapplicable/applicable.</w:t>
      </w:r>
    </w:p>
    <w:p w14:paraId="1BAF6C96" w14:textId="77777777" w:rsidR="00DE2429" w:rsidRPr="00DE2429" w:rsidRDefault="00DE2429" w:rsidP="00C15AF1">
      <w:pPr>
        <w:jc w:val="left"/>
        <w:rPr>
          <w:szCs w:val="22"/>
        </w:rPr>
      </w:pPr>
    </w:p>
    <w:p w14:paraId="504B05A6" w14:textId="77777777" w:rsidR="00DE2429" w:rsidRPr="00DE2429" w:rsidRDefault="00DE2429" w:rsidP="009E6FDB">
      <w:pPr>
        <w:jc w:val="left"/>
      </w:pPr>
    </w:p>
    <w:sectPr w:rsidR="00DE2429" w:rsidRPr="00DE2429"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8B68E" w14:textId="77777777" w:rsidR="000D4E3E" w:rsidRPr="00F50E1F" w:rsidRDefault="000D4E3E">
      <w:r w:rsidRPr="00F50E1F">
        <w:separator/>
      </w:r>
    </w:p>
  </w:endnote>
  <w:endnote w:type="continuationSeparator" w:id="0">
    <w:p w14:paraId="4315093C" w14:textId="77777777" w:rsidR="000D4E3E" w:rsidRPr="00F50E1F" w:rsidRDefault="000D4E3E">
      <w:r w:rsidRPr="00F50E1F">
        <w:continuationSeparator/>
      </w:r>
    </w:p>
  </w:endnote>
  <w:endnote w:type="continuationNotice" w:id="1">
    <w:p w14:paraId="1AE5225B" w14:textId="77777777" w:rsidR="000D4E3E" w:rsidRPr="00F50E1F" w:rsidRDefault="000D4E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07000" w14:textId="77777777" w:rsidR="000D4E3E" w:rsidRPr="00F50E1F" w:rsidRDefault="000D4E3E">
      <w:r w:rsidRPr="00F50E1F">
        <w:separator/>
      </w:r>
    </w:p>
  </w:footnote>
  <w:footnote w:type="continuationSeparator" w:id="0">
    <w:p w14:paraId="44B66A5D" w14:textId="77777777" w:rsidR="000D4E3E" w:rsidRPr="00F50E1F" w:rsidRDefault="000D4E3E">
      <w:r w:rsidRPr="00F50E1F">
        <w:continuationSeparator/>
      </w:r>
    </w:p>
  </w:footnote>
  <w:footnote w:type="continuationNotice" w:id="1">
    <w:p w14:paraId="241FA011" w14:textId="77777777" w:rsidR="000D4E3E" w:rsidRPr="00F50E1F" w:rsidRDefault="000D4E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163579"/>
    <w:multiLevelType w:val="hybridMultilevel"/>
    <w:tmpl w:val="5950D9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A7D0365"/>
    <w:multiLevelType w:val="hybridMultilevel"/>
    <w:tmpl w:val="371CB2B0"/>
    <w:lvl w:ilvl="0" w:tplc="0D48F568">
      <w:start w:val="1"/>
      <w:numFmt w:val="decimal"/>
      <w:lvlText w:val="%1."/>
      <w:lvlJc w:val="left"/>
      <w:pPr>
        <w:ind w:left="1613" w:hanging="360"/>
      </w:pPr>
    </w:lvl>
    <w:lvl w:ilvl="1" w:tplc="04090019">
      <w:start w:val="1"/>
      <w:numFmt w:val="lowerLetter"/>
      <w:lvlText w:val="%2."/>
      <w:lvlJc w:val="left"/>
      <w:pPr>
        <w:ind w:left="2333" w:hanging="360"/>
      </w:pPr>
    </w:lvl>
    <w:lvl w:ilvl="2" w:tplc="0409001B">
      <w:start w:val="1"/>
      <w:numFmt w:val="lowerRoman"/>
      <w:lvlText w:val="%3."/>
      <w:lvlJc w:val="right"/>
      <w:pPr>
        <w:ind w:left="3053" w:hanging="180"/>
      </w:pPr>
    </w:lvl>
    <w:lvl w:ilvl="3" w:tplc="0409000F">
      <w:start w:val="1"/>
      <w:numFmt w:val="decimal"/>
      <w:lvlText w:val="%4."/>
      <w:lvlJc w:val="left"/>
      <w:pPr>
        <w:ind w:left="3773" w:hanging="360"/>
      </w:pPr>
    </w:lvl>
    <w:lvl w:ilvl="4" w:tplc="04090019">
      <w:start w:val="1"/>
      <w:numFmt w:val="lowerLetter"/>
      <w:lvlText w:val="%5."/>
      <w:lvlJc w:val="left"/>
      <w:pPr>
        <w:ind w:left="4493" w:hanging="360"/>
      </w:pPr>
    </w:lvl>
    <w:lvl w:ilvl="5" w:tplc="0409001B">
      <w:start w:val="1"/>
      <w:numFmt w:val="lowerRoman"/>
      <w:lvlText w:val="%6."/>
      <w:lvlJc w:val="right"/>
      <w:pPr>
        <w:ind w:left="5213" w:hanging="180"/>
      </w:pPr>
    </w:lvl>
    <w:lvl w:ilvl="6" w:tplc="0409000F">
      <w:start w:val="1"/>
      <w:numFmt w:val="decimal"/>
      <w:lvlText w:val="%7."/>
      <w:lvlJc w:val="left"/>
      <w:pPr>
        <w:ind w:left="5933" w:hanging="360"/>
      </w:pPr>
    </w:lvl>
    <w:lvl w:ilvl="7" w:tplc="04090019">
      <w:start w:val="1"/>
      <w:numFmt w:val="lowerLetter"/>
      <w:lvlText w:val="%8."/>
      <w:lvlJc w:val="left"/>
      <w:pPr>
        <w:ind w:left="6653" w:hanging="360"/>
      </w:pPr>
    </w:lvl>
    <w:lvl w:ilvl="8" w:tplc="0409001B">
      <w:start w:val="1"/>
      <w:numFmt w:val="lowerRoman"/>
      <w:lvlText w:val="%9."/>
      <w:lvlJc w:val="right"/>
      <w:pPr>
        <w:ind w:left="7373" w:hanging="180"/>
      </w:pPr>
    </w:lvl>
  </w:abstractNum>
  <w:abstractNum w:abstractNumId="7"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BB4C9D"/>
    <w:multiLevelType w:val="hybridMultilevel"/>
    <w:tmpl w:val="F10E5AF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3A6F6507"/>
    <w:multiLevelType w:val="hybridMultilevel"/>
    <w:tmpl w:val="254C4514"/>
    <w:lvl w:ilvl="0" w:tplc="BE76686A">
      <w:start w:val="5"/>
      <w:numFmt w:val="bullet"/>
      <w:lvlText w:val="-"/>
      <w:lvlJc w:val="left"/>
      <w:pPr>
        <w:ind w:left="1979" w:hanging="360"/>
      </w:pPr>
      <w:rPr>
        <w:rFonts w:ascii="Arial" w:eastAsia="Malgun Gothic"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052DC1"/>
    <w:multiLevelType w:val="hybridMultilevel"/>
    <w:tmpl w:val="13201AC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F41CCC"/>
    <w:multiLevelType w:val="hybridMultilevel"/>
    <w:tmpl w:val="80444B62"/>
    <w:lvl w:ilvl="0" w:tplc="F570799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9863D86"/>
    <w:multiLevelType w:val="hybridMultilevel"/>
    <w:tmpl w:val="078A99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BFD3558"/>
    <w:multiLevelType w:val="hybridMultilevel"/>
    <w:tmpl w:val="6446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7755EA"/>
    <w:multiLevelType w:val="hybridMultilevel"/>
    <w:tmpl w:val="B0B6B4C8"/>
    <w:lvl w:ilvl="0" w:tplc="04090001">
      <w:start w:val="1"/>
      <w:numFmt w:val="bullet"/>
      <w:lvlText w:val=""/>
      <w:lvlJc w:val="left"/>
      <w:pPr>
        <w:ind w:left="1619" w:hanging="360"/>
      </w:pPr>
      <w:rPr>
        <w:rFonts w:ascii="Symbol" w:hAnsi="Symbol"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34B7F8A"/>
    <w:multiLevelType w:val="hybridMultilevel"/>
    <w:tmpl w:val="ABF2EBCE"/>
    <w:lvl w:ilvl="0" w:tplc="D90AE3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7"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8" w15:restartNumberingAfterBreak="0">
    <w:nsid w:val="79F458EF"/>
    <w:multiLevelType w:val="hybridMultilevel"/>
    <w:tmpl w:val="F808D882"/>
    <w:lvl w:ilvl="0" w:tplc="14C088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2"/>
  </w:num>
  <w:num w:numId="2" w16cid:durableId="1490947658">
    <w:abstractNumId w:val="26"/>
  </w:num>
  <w:num w:numId="3" w16cid:durableId="1519151789">
    <w:abstractNumId w:val="20"/>
  </w:num>
  <w:num w:numId="4" w16cid:durableId="1934044786">
    <w:abstractNumId w:val="21"/>
  </w:num>
  <w:num w:numId="5" w16cid:durableId="1435324944">
    <w:abstractNumId w:val="15"/>
  </w:num>
  <w:num w:numId="6" w16cid:durableId="1922372000">
    <w:abstractNumId w:val="23"/>
  </w:num>
  <w:num w:numId="7" w16cid:durableId="1083601651">
    <w:abstractNumId w:val="28"/>
  </w:num>
  <w:num w:numId="8" w16cid:durableId="49505293">
    <w:abstractNumId w:val="17"/>
  </w:num>
  <w:num w:numId="9" w16cid:durableId="947472016">
    <w:abstractNumId w:val="49"/>
  </w:num>
  <w:num w:numId="10" w16cid:durableId="468060315">
    <w:abstractNumId w:val="9"/>
  </w:num>
  <w:num w:numId="11" w16cid:durableId="358511164">
    <w:abstractNumId w:val="13"/>
  </w:num>
  <w:num w:numId="12" w16cid:durableId="1758941740">
    <w:abstractNumId w:val="35"/>
  </w:num>
  <w:num w:numId="13" w16cid:durableId="110901978">
    <w:abstractNumId w:val="29"/>
  </w:num>
  <w:num w:numId="14" w16cid:durableId="752551463">
    <w:abstractNumId w:val="34"/>
  </w:num>
  <w:num w:numId="15" w16cid:durableId="1738281961">
    <w:abstractNumId w:val="42"/>
  </w:num>
  <w:num w:numId="16" w16cid:durableId="831218355">
    <w:abstractNumId w:val="45"/>
  </w:num>
  <w:num w:numId="17" w16cid:durableId="1485582577">
    <w:abstractNumId w:val="25"/>
  </w:num>
  <w:num w:numId="18" w16cid:durableId="1688405876">
    <w:abstractNumId w:val="12"/>
  </w:num>
  <w:num w:numId="19" w16cid:durableId="595671673">
    <w:abstractNumId w:val="37"/>
  </w:num>
  <w:num w:numId="20" w16cid:durableId="381178554">
    <w:abstractNumId w:val="24"/>
  </w:num>
  <w:num w:numId="21" w16cid:durableId="1515420346">
    <w:abstractNumId w:val="0"/>
  </w:num>
  <w:num w:numId="22" w16cid:durableId="2087459430">
    <w:abstractNumId w:val="36"/>
  </w:num>
  <w:num w:numId="23" w16cid:durableId="2101372328">
    <w:abstractNumId w:val="41"/>
  </w:num>
  <w:num w:numId="24" w16cid:durableId="1359886836">
    <w:abstractNumId w:val="40"/>
  </w:num>
  <w:num w:numId="25" w16cid:durableId="71204629">
    <w:abstractNumId w:val="31"/>
  </w:num>
  <w:num w:numId="26" w16cid:durableId="725295725">
    <w:abstractNumId w:val="44"/>
  </w:num>
  <w:num w:numId="27" w16cid:durableId="1747527591">
    <w:abstractNumId w:val="39"/>
  </w:num>
  <w:num w:numId="28" w16cid:durableId="1419525978">
    <w:abstractNumId w:val="5"/>
  </w:num>
  <w:num w:numId="29" w16cid:durableId="1534806105">
    <w:abstractNumId w:val="4"/>
  </w:num>
  <w:num w:numId="30" w16cid:durableId="1868984830">
    <w:abstractNumId w:val="14"/>
  </w:num>
  <w:num w:numId="31" w16cid:durableId="1427581010">
    <w:abstractNumId w:val="3"/>
  </w:num>
  <w:num w:numId="32" w16cid:durableId="581722885">
    <w:abstractNumId w:val="10"/>
  </w:num>
  <w:num w:numId="33" w16cid:durableId="897281722">
    <w:abstractNumId w:val="16"/>
  </w:num>
  <w:num w:numId="34" w16cid:durableId="628046527">
    <w:abstractNumId w:val="43"/>
  </w:num>
  <w:num w:numId="35" w16cid:durableId="3017690">
    <w:abstractNumId w:val="7"/>
  </w:num>
  <w:num w:numId="36" w16cid:durableId="1822229755">
    <w:abstractNumId w:val="46"/>
  </w:num>
  <w:num w:numId="37" w16cid:durableId="1810322941">
    <w:abstractNumId w:val="18"/>
  </w:num>
  <w:num w:numId="38" w16cid:durableId="1958952752">
    <w:abstractNumId w:val="30"/>
  </w:num>
  <w:num w:numId="39" w16cid:durableId="1170632878">
    <w:abstractNumId w:val="1"/>
  </w:num>
  <w:num w:numId="40" w16cid:durableId="2110151379">
    <w:abstractNumId w:val="11"/>
  </w:num>
  <w:num w:numId="41" w16cid:durableId="1729303644">
    <w:abstractNumId w:val="8"/>
  </w:num>
  <w:num w:numId="42" w16cid:durableId="376658926">
    <w:abstractNumId w:val="47"/>
  </w:num>
  <w:num w:numId="43" w16cid:durableId="564874182">
    <w:abstractNumId w:val="22"/>
  </w:num>
  <w:num w:numId="44" w16cid:durableId="64018529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14521765">
    <w:abstractNumId w:val="19"/>
  </w:num>
  <w:num w:numId="46" w16cid:durableId="122094124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269127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0560370">
    <w:abstractNumId w:val="33"/>
  </w:num>
  <w:num w:numId="49" w16cid:durableId="1371687488">
    <w:abstractNumId w:val="33"/>
  </w:num>
  <w:num w:numId="50" w16cid:durableId="768352606">
    <w:abstractNumId w:val="32"/>
  </w:num>
  <w:num w:numId="51" w16cid:durableId="430902168">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58C"/>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B97"/>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417"/>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2A1"/>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2BCE"/>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4E3E"/>
    <w:rsid w:val="000D4F8F"/>
    <w:rsid w:val="000D56AC"/>
    <w:rsid w:val="000D5C17"/>
    <w:rsid w:val="000D6210"/>
    <w:rsid w:val="000D6441"/>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6E"/>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3A8D"/>
    <w:rsid w:val="001344C0"/>
    <w:rsid w:val="001346FA"/>
    <w:rsid w:val="00134980"/>
    <w:rsid w:val="00134E3E"/>
    <w:rsid w:val="00135169"/>
    <w:rsid w:val="00135252"/>
    <w:rsid w:val="0013526B"/>
    <w:rsid w:val="00135394"/>
    <w:rsid w:val="001353E7"/>
    <w:rsid w:val="0013580A"/>
    <w:rsid w:val="001358D4"/>
    <w:rsid w:val="00135999"/>
    <w:rsid w:val="00135DEE"/>
    <w:rsid w:val="00135F1A"/>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A7840"/>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0456"/>
    <w:rsid w:val="001D0B84"/>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17"/>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0E1D"/>
    <w:rsid w:val="00231425"/>
    <w:rsid w:val="002319E4"/>
    <w:rsid w:val="00231BFB"/>
    <w:rsid w:val="002320DA"/>
    <w:rsid w:val="0023234B"/>
    <w:rsid w:val="00232DB5"/>
    <w:rsid w:val="0023321F"/>
    <w:rsid w:val="0023327C"/>
    <w:rsid w:val="0023397A"/>
    <w:rsid w:val="00233A44"/>
    <w:rsid w:val="00233BAA"/>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2E7"/>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22A"/>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026"/>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842"/>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5F2"/>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18"/>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6D0"/>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572"/>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550"/>
    <w:rsid w:val="00352BCD"/>
    <w:rsid w:val="00352D15"/>
    <w:rsid w:val="003531A0"/>
    <w:rsid w:val="00354D96"/>
    <w:rsid w:val="00354E94"/>
    <w:rsid w:val="00354F66"/>
    <w:rsid w:val="00355206"/>
    <w:rsid w:val="00355657"/>
    <w:rsid w:val="003557C7"/>
    <w:rsid w:val="00355B66"/>
    <w:rsid w:val="00356081"/>
    <w:rsid w:val="003564FC"/>
    <w:rsid w:val="0035683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C96"/>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AA7"/>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0F23"/>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C7D1B"/>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953"/>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20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A33"/>
    <w:rsid w:val="00472FD9"/>
    <w:rsid w:val="0047334A"/>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2DD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0B5"/>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CBC"/>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CD0"/>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A8B"/>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6FAB"/>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1A0"/>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3C02"/>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4"/>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25D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684"/>
    <w:rsid w:val="005A1BCB"/>
    <w:rsid w:val="005A209A"/>
    <w:rsid w:val="005A285A"/>
    <w:rsid w:val="005A2882"/>
    <w:rsid w:val="005A29A3"/>
    <w:rsid w:val="005A2D92"/>
    <w:rsid w:val="005A2DCF"/>
    <w:rsid w:val="005A3288"/>
    <w:rsid w:val="005A3D06"/>
    <w:rsid w:val="005A4688"/>
    <w:rsid w:val="005A47CD"/>
    <w:rsid w:val="005A4A47"/>
    <w:rsid w:val="005A5838"/>
    <w:rsid w:val="005A5C8A"/>
    <w:rsid w:val="005A662D"/>
    <w:rsid w:val="005A67B1"/>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5C94"/>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4FAB"/>
    <w:rsid w:val="006151D2"/>
    <w:rsid w:val="006156BF"/>
    <w:rsid w:val="00615986"/>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2E"/>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255"/>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CAF"/>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69B9"/>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39"/>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91E"/>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79"/>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0A06"/>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5C8"/>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3D6D"/>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4E"/>
    <w:rsid w:val="00834C82"/>
    <w:rsid w:val="00834F8B"/>
    <w:rsid w:val="00835231"/>
    <w:rsid w:val="0083565C"/>
    <w:rsid w:val="00836492"/>
    <w:rsid w:val="0083684B"/>
    <w:rsid w:val="00836E63"/>
    <w:rsid w:val="008370B8"/>
    <w:rsid w:val="008372B9"/>
    <w:rsid w:val="008376AC"/>
    <w:rsid w:val="0083778B"/>
    <w:rsid w:val="00840C94"/>
    <w:rsid w:val="00840F75"/>
    <w:rsid w:val="00841446"/>
    <w:rsid w:val="00841460"/>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21"/>
    <w:rsid w:val="00865B70"/>
    <w:rsid w:val="00865CD9"/>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D6FA5"/>
    <w:rsid w:val="008E0927"/>
    <w:rsid w:val="008E0DC8"/>
    <w:rsid w:val="008E10C0"/>
    <w:rsid w:val="008E142A"/>
    <w:rsid w:val="008E1909"/>
    <w:rsid w:val="008E1D2C"/>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0AD6"/>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892"/>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243"/>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C2D"/>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2A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2A81"/>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46A"/>
    <w:rsid w:val="009E47A3"/>
    <w:rsid w:val="009E487B"/>
    <w:rsid w:val="009E4936"/>
    <w:rsid w:val="009E4BE9"/>
    <w:rsid w:val="009E553A"/>
    <w:rsid w:val="009E5882"/>
    <w:rsid w:val="009E58A2"/>
    <w:rsid w:val="009E5D88"/>
    <w:rsid w:val="009E5DD1"/>
    <w:rsid w:val="009E602D"/>
    <w:rsid w:val="009E61CA"/>
    <w:rsid w:val="009E691D"/>
    <w:rsid w:val="009E6BD9"/>
    <w:rsid w:val="009E6FDB"/>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570"/>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06F"/>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DC0"/>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385F"/>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7D"/>
    <w:rsid w:val="00A644F7"/>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6D1"/>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70B"/>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1C"/>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486"/>
    <w:rsid w:val="00B028B5"/>
    <w:rsid w:val="00B02AA9"/>
    <w:rsid w:val="00B02FA3"/>
    <w:rsid w:val="00B03281"/>
    <w:rsid w:val="00B032E0"/>
    <w:rsid w:val="00B03B76"/>
    <w:rsid w:val="00B0431E"/>
    <w:rsid w:val="00B05084"/>
    <w:rsid w:val="00B051EA"/>
    <w:rsid w:val="00B054E6"/>
    <w:rsid w:val="00B05599"/>
    <w:rsid w:val="00B055C2"/>
    <w:rsid w:val="00B057B4"/>
    <w:rsid w:val="00B068F8"/>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030"/>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9BD"/>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A6E"/>
    <w:rsid w:val="00B45C84"/>
    <w:rsid w:val="00B45CFE"/>
    <w:rsid w:val="00B45F33"/>
    <w:rsid w:val="00B46175"/>
    <w:rsid w:val="00B4644D"/>
    <w:rsid w:val="00B465F1"/>
    <w:rsid w:val="00B466DC"/>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61"/>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4F18"/>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E4"/>
    <w:rsid w:val="00BD52C8"/>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461"/>
    <w:rsid w:val="00C00BED"/>
    <w:rsid w:val="00C012E6"/>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AF1"/>
    <w:rsid w:val="00C15D7A"/>
    <w:rsid w:val="00C16757"/>
    <w:rsid w:val="00C169A0"/>
    <w:rsid w:val="00C16F9A"/>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68E"/>
    <w:rsid w:val="00C279B5"/>
    <w:rsid w:val="00C27C45"/>
    <w:rsid w:val="00C27C94"/>
    <w:rsid w:val="00C302CE"/>
    <w:rsid w:val="00C306EC"/>
    <w:rsid w:val="00C30F69"/>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7DC"/>
    <w:rsid w:val="00C46B7B"/>
    <w:rsid w:val="00C46BA2"/>
    <w:rsid w:val="00C47011"/>
    <w:rsid w:val="00C47344"/>
    <w:rsid w:val="00C47E53"/>
    <w:rsid w:val="00C500FA"/>
    <w:rsid w:val="00C5010D"/>
    <w:rsid w:val="00C508EF"/>
    <w:rsid w:val="00C50D54"/>
    <w:rsid w:val="00C51219"/>
    <w:rsid w:val="00C51B69"/>
    <w:rsid w:val="00C51FB0"/>
    <w:rsid w:val="00C524D3"/>
    <w:rsid w:val="00C5269D"/>
    <w:rsid w:val="00C529C1"/>
    <w:rsid w:val="00C52B1A"/>
    <w:rsid w:val="00C52B72"/>
    <w:rsid w:val="00C533F0"/>
    <w:rsid w:val="00C537AD"/>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1BF"/>
    <w:rsid w:val="00C76D05"/>
    <w:rsid w:val="00C76D90"/>
    <w:rsid w:val="00C76E3C"/>
    <w:rsid w:val="00C773B7"/>
    <w:rsid w:val="00C775B4"/>
    <w:rsid w:val="00C77C4C"/>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8DD"/>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528"/>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99C"/>
    <w:rsid w:val="00D12D50"/>
    <w:rsid w:val="00D13135"/>
    <w:rsid w:val="00D136C1"/>
    <w:rsid w:val="00D13A9F"/>
    <w:rsid w:val="00D13E4E"/>
    <w:rsid w:val="00D140F1"/>
    <w:rsid w:val="00D1413F"/>
    <w:rsid w:val="00D14672"/>
    <w:rsid w:val="00D14DCC"/>
    <w:rsid w:val="00D14E15"/>
    <w:rsid w:val="00D14F42"/>
    <w:rsid w:val="00D1599C"/>
    <w:rsid w:val="00D1599D"/>
    <w:rsid w:val="00D15D68"/>
    <w:rsid w:val="00D16563"/>
    <w:rsid w:val="00D212E2"/>
    <w:rsid w:val="00D21443"/>
    <w:rsid w:val="00D217FF"/>
    <w:rsid w:val="00D21818"/>
    <w:rsid w:val="00D22AD9"/>
    <w:rsid w:val="00D22D54"/>
    <w:rsid w:val="00D235FD"/>
    <w:rsid w:val="00D239A7"/>
    <w:rsid w:val="00D23BDE"/>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5A8"/>
    <w:rsid w:val="00DC3D86"/>
    <w:rsid w:val="00DC486B"/>
    <w:rsid w:val="00DC4FA7"/>
    <w:rsid w:val="00DC53EF"/>
    <w:rsid w:val="00DC5FB3"/>
    <w:rsid w:val="00DC631A"/>
    <w:rsid w:val="00DC691C"/>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2429"/>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1B6"/>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1FF"/>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9DD"/>
    <w:rsid w:val="00E23A38"/>
    <w:rsid w:val="00E23CD9"/>
    <w:rsid w:val="00E240D8"/>
    <w:rsid w:val="00E24275"/>
    <w:rsid w:val="00E24C78"/>
    <w:rsid w:val="00E24F54"/>
    <w:rsid w:val="00E25823"/>
    <w:rsid w:val="00E25B88"/>
    <w:rsid w:val="00E25DE2"/>
    <w:rsid w:val="00E263C5"/>
    <w:rsid w:val="00E26EC2"/>
    <w:rsid w:val="00E26FE3"/>
    <w:rsid w:val="00E271B1"/>
    <w:rsid w:val="00E2732E"/>
    <w:rsid w:val="00E276AD"/>
    <w:rsid w:val="00E2784E"/>
    <w:rsid w:val="00E279B5"/>
    <w:rsid w:val="00E302FC"/>
    <w:rsid w:val="00E303AE"/>
    <w:rsid w:val="00E304E6"/>
    <w:rsid w:val="00E30865"/>
    <w:rsid w:val="00E30B5A"/>
    <w:rsid w:val="00E30BC8"/>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028"/>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C1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D96"/>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0E79"/>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52"/>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3AF"/>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08A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3DE4"/>
    <w:rsid w:val="00EE5452"/>
    <w:rsid w:val="00EE55DE"/>
    <w:rsid w:val="00EE64C5"/>
    <w:rsid w:val="00EE7312"/>
    <w:rsid w:val="00EF00FF"/>
    <w:rsid w:val="00EF04C5"/>
    <w:rsid w:val="00EF09BB"/>
    <w:rsid w:val="00EF18FE"/>
    <w:rsid w:val="00EF1910"/>
    <w:rsid w:val="00EF19C5"/>
    <w:rsid w:val="00EF1BB8"/>
    <w:rsid w:val="00EF261A"/>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2A7C"/>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53F"/>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E1D"/>
    <w:rsid w:val="00F47F10"/>
    <w:rsid w:val="00F502EF"/>
    <w:rsid w:val="00F507D1"/>
    <w:rsid w:val="00F50827"/>
    <w:rsid w:val="00F508A0"/>
    <w:rsid w:val="00F50984"/>
    <w:rsid w:val="00F50E1F"/>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20"/>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3941"/>
    <w:rsid w:val="00F7406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376"/>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384F"/>
    <w:rsid w:val="00FE4C7B"/>
    <w:rsid w:val="00FE4D7E"/>
    <w:rsid w:val="00FE5659"/>
    <w:rsid w:val="00FE57B9"/>
    <w:rsid w:val="00FE638C"/>
    <w:rsid w:val="00FE6703"/>
    <w:rsid w:val="00FE67E0"/>
    <w:rsid w:val="00FE68BF"/>
    <w:rsid w:val="00FE6B82"/>
    <w:rsid w:val="00FE6EE6"/>
    <w:rsid w:val="00FE7336"/>
    <w:rsid w:val="00FE73E2"/>
    <w:rsid w:val="00FE787C"/>
    <w:rsid w:val="00FF030D"/>
    <w:rsid w:val="00FF07B8"/>
    <w:rsid w:val="00FF0AFB"/>
    <w:rsid w:val="00FF104D"/>
    <w:rsid w:val="00FF10FD"/>
    <w:rsid w:val="00FF126E"/>
    <w:rsid w:val="00FF162A"/>
    <w:rsid w:val="00FF1957"/>
    <w:rsid w:val="00FF1AFE"/>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8080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link w:val="3GPPHeaderChar"/>
    <w:qFormat/>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qFormat/>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qFormat/>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4F18"/>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4F18"/>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character" w:customStyle="1" w:styleId="3GPPHeaderChar">
    <w:name w:val="3GPP_Header Char"/>
    <w:link w:val="3GPPHeader"/>
    <w:rsid w:val="000A2BCE"/>
    <w:rPr>
      <w:rFonts w:ascii="Times New Roman" w:hAnsi="Times New Roman"/>
      <w:b/>
      <w:sz w:val="24"/>
      <w:lang w:val="en-GB" w:eastAsia="zh-CN"/>
    </w:rPr>
  </w:style>
  <w:style w:type="character" w:customStyle="1" w:styleId="B1Char">
    <w:name w:val="B1 Char"/>
    <w:rsid w:val="00233BA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E0DF7-332C-4211-86E0-EE17C2791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3843</Words>
  <Characters>22766</Characters>
  <Application>Microsoft Office Word</Application>
  <DocSecurity>0</DocSecurity>
  <Lines>413</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2026-01-29T19:35:00Z</dcterms:created>
  <dcterms:modified xsi:type="dcterms:W3CDTF">2026-01-29T19:36:00Z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2026-01-29T19:36:13Z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d6046e0f-1980-4843-88f1-e754c6ab3913</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